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hint="eastAsia" w:ascii="宋体" w:hAnsi="宋体" w:eastAsia="宋体" w:cs="宋体"/>
          <w:caps/>
          <w:color w:val="auto"/>
          <w:sz w:val="44"/>
          <w:szCs w:val="44"/>
          <w:highlight w:val="none"/>
        </w:rPr>
      </w:pPr>
      <w:r>
        <w:rPr>
          <w:rFonts w:hint="eastAsia" w:ascii="宋体" w:hAnsi="宋体" w:eastAsia="宋体" w:cs="宋体"/>
          <w:caps/>
          <w:color w:val="auto"/>
          <w:sz w:val="44"/>
          <w:szCs w:val="44"/>
          <w:highlight w:val="none"/>
        </w:rPr>
      </w:r>
      <w:r/>
    </w:p>
    <w:p>
      <w:pPr>
        <w:ind w:firstLine="880"/>
        <w:rPr>
          <w:rFonts w:hint="eastAsia" w:ascii="宋体" w:hAnsi="宋体" w:eastAsia="宋体" w:cs="宋体"/>
          <w:caps/>
          <w:color w:val="auto"/>
          <w:sz w:val="44"/>
          <w:szCs w:val="44"/>
          <w:highlight w:val="none"/>
        </w:rPr>
      </w:pPr>
      <w:r>
        <w:rPr>
          <w:rFonts w:hint="eastAsia" w:ascii="宋体" w:hAnsi="宋体" w:eastAsia="宋体" w:cs="宋体"/>
          <w:caps/>
          <w:color w:val="auto"/>
          <w:sz w:val="44"/>
          <w:szCs w:val="44"/>
          <w:highlight w:val="none"/>
        </w:rPr>
      </w:r>
      <w:r/>
    </w:p>
    <w:p>
      <w:pPr>
        <w:pStyle w:val="738"/>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56"/>
        <w:ind w:firstLine="600"/>
        <w:rPr>
          <w:rFonts w:hint="eastAsia" w:ascii="宋体" w:hAnsi="宋体" w:eastAsia="宋体" w:cs="宋体"/>
          <w:color w:val="auto"/>
          <w:highlight w:val="none"/>
        </w:rPr>
      </w:pPr>
      <w:r/>
      <w:bookmarkStart w:id="539" w:name="_GoBack"/>
      <w:r/>
      <w:bookmarkEnd w:id="539"/>
      <w:r/>
      <w:r/>
    </w:p>
    <w:p>
      <w:pPr>
        <w:pStyle w:val="756"/>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6"/>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hd w:val="clear" w:color="auto" w:fill="auto"/>
        <w:rPr>
          <w:rFonts w:hint="eastAsia" w:ascii="宋体" w:hAnsi="宋体" w:eastAsia="宋体" w:cs="宋体"/>
          <w:b/>
          <w:color w:val="auto"/>
          <w:sz w:val="96"/>
          <w:szCs w:val="18"/>
          <w:highlight w:val="none"/>
          <w:lang w:val="zh-CN"/>
        </w:rPr>
        <w:outlineLvl w:val="9"/>
      </w:pPr>
      <w:r>
        <w:rPr>
          <w:rFonts w:hint="eastAsia" w:ascii="宋体" w:hAnsi="宋体" w:eastAsia="宋体" w:cs="宋体"/>
          <w:b/>
          <w:color w:val="auto"/>
          <w:sz w:val="96"/>
          <w:szCs w:val="18"/>
          <w:highlight w:val="none"/>
          <w:lang w:val="zh-CN"/>
        </w:rPr>
        <w:t xml:space="preserve">公开招标文件</w:t>
      </w:r>
      <w:r/>
    </w:p>
    <w:p>
      <w:pPr>
        <w:pageBreakBefore w:val="0"/>
        <w:shd w:val="clear" w:color="auto" w:fill="auto"/>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pageBreakBefore w:val="0"/>
        <w:shd w:val="clear" w:color="auto" w:fill="auto"/>
        <w:tabs>
          <w:tab w:val="left" w:pos="5547" w:leader="none"/>
        </w:tabs>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tab/>
      </w:r>
      <w:r/>
    </w:p>
    <w:p>
      <w:pPr>
        <w:pStyle w:val="746"/>
        <w:pageBreakBefore w:val="0"/>
        <w:rPr>
          <w:rFonts w:hint="eastAsia"/>
          <w:color w:val="auto"/>
          <w:highlight w:val="none"/>
          <w:lang w:val="zh-CN"/>
        </w:rPr>
        <w:outlineLvl w:val="9"/>
      </w:pPr>
      <w:r>
        <w:rPr>
          <w:rFonts w:hint="eastAsia"/>
          <w:color w:val="auto"/>
          <w:highlight w:val="none"/>
          <w:lang w:val="zh-CN"/>
        </w:rPr>
      </w:r>
      <w:r/>
    </w:p>
    <w:p>
      <w:pPr>
        <w:pageBreakBefore w:val="0"/>
        <w:shd w:val="clear" w:color="auto" w:fill="auto"/>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ind w:left="1436"/>
        <w:jc w:val="left"/>
        <w:pageBreakBefore w:val="0"/>
        <w:spacing w:line="360" w:lineRule="auto"/>
        <w:widowControl/>
        <w:rPr>
          <w:rFonts w:hint="eastAsia" w:ascii="宋体" w:hAnsi="宋体" w:eastAsia="宋体" w:cs="宋体"/>
          <w:b/>
          <w:bCs w:val="0"/>
          <w:color w:val="auto"/>
          <w:sz w:val="36"/>
          <w:szCs w:val="36"/>
          <w:highlight w:val="none"/>
          <w:lang w:val="en-US" w:eastAsia="zh-CN" w:bidi="ar-SA"/>
        </w:rPr>
        <w:outlineLvl w:val="9"/>
      </w:pPr>
      <w:r/>
      <w:bookmarkStart w:id="0" w:name="_Toc497"/>
      <w:r>
        <w:rPr>
          <w:rFonts w:hint="eastAsia" w:ascii="宋体" w:hAnsi="宋体" w:eastAsia="宋体" w:cs="宋体"/>
          <w:b/>
          <w:bCs w:val="0"/>
          <w:color w:val="auto"/>
          <w:sz w:val="36"/>
          <w:szCs w:val="36"/>
          <w:highlight w:val="none"/>
          <w:lang w:val="en-US" w:eastAsia="zh-CN" w:bidi="ar-SA"/>
        </w:rPr>
        <w:t xml:space="preserve">项目名称：</w:t>
      </w:r>
      <w:bookmarkEnd w:id="0"/>
      <w:r>
        <w:rPr>
          <w:rFonts w:hint="eastAsia" w:ascii="宋体" w:hAnsi="宋体" w:cs="宋体"/>
          <w:b/>
          <w:bCs w:val="0"/>
          <w:i w:val="0"/>
          <w:iCs w:val="0"/>
          <w:caps w:val="0"/>
          <w:color w:val="auto"/>
          <w:spacing w:val="0"/>
          <w:sz w:val="36"/>
          <w:szCs w:val="36"/>
          <w:highlight w:val="none"/>
          <w:shd w:val="clear" w:color="auto" w:fill="ffffff"/>
          <w:lang w:val="en-US" w:eastAsia="zh-CN" w:bidi="ar-SA"/>
        </w:rPr>
        <w:t xml:space="preserve">2026年度南京市公安局高淳分局食堂食材采购</w:t>
      </w:r>
      <w:r/>
    </w:p>
    <w:p>
      <w:pPr>
        <w:ind w:firstLine="1446"/>
        <w:jc w:val="left"/>
        <w:pageBreakBefore w:val="0"/>
        <w:spacing w:line="360" w:lineRule="auto"/>
        <w:widowControl/>
        <w:rPr>
          <w:rFonts w:hint="eastAsia" w:ascii="宋体" w:hAnsi="宋体" w:eastAsia="宋体" w:cs="宋体"/>
          <w:b/>
          <w:bCs w:val="0"/>
          <w:color w:val="auto"/>
          <w:sz w:val="36"/>
          <w:szCs w:val="36"/>
          <w:highlight w:val="none"/>
          <w:lang w:val="en-US" w:eastAsia="zh-CN" w:bidi="ar-SA"/>
        </w:rPr>
        <w:outlineLvl w:val="9"/>
      </w:pPr>
      <w:r/>
      <w:bookmarkStart w:id="1" w:name="_Toc12927"/>
      <w:r>
        <w:rPr>
          <w:rFonts w:hint="eastAsia" w:ascii="宋体" w:hAnsi="宋体" w:eastAsia="宋体" w:cs="宋体"/>
          <w:b/>
          <w:bCs w:val="0"/>
          <w:color w:val="auto"/>
          <w:sz w:val="36"/>
          <w:szCs w:val="36"/>
          <w:highlight w:val="none"/>
          <w:lang w:val="en-US" w:eastAsia="zh-CN" w:bidi="ar-SA"/>
        </w:rPr>
        <w:t xml:space="preserve">项目编号：</w:t>
      </w:r>
      <w:bookmarkEnd w:id="1"/>
      <w:r>
        <w:rPr>
          <w:rFonts w:hint="eastAsia" w:ascii="宋体" w:hAnsi="宋体" w:eastAsia="宋体" w:cs="宋体"/>
          <w:b/>
          <w:bCs w:val="0"/>
          <w:color w:val="auto"/>
          <w:sz w:val="36"/>
          <w:szCs w:val="36"/>
          <w:highlight w:val="none"/>
          <w:lang w:val="en-US" w:eastAsia="zh-CN" w:bidi="ar-SA"/>
        </w:rPr>
        <w:t xml:space="preserve">JSZC-320118-NJGS-G2025-0006</w:t>
      </w:r>
      <w:r/>
    </w:p>
    <w:p>
      <w:pPr>
        <w:pageBreakBefore w:val="0"/>
        <w:shd w:val="clear" w:color="auto" w:fill="auto"/>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pageBreakBefore w:val="0"/>
        <w:shd w:val="clear" w:color="auto" w:fill="auto"/>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pStyle w:val="945"/>
        <w:pageBreakBefore w:val="0"/>
        <w:shd w:val="clear" w:color="auto" w:fill="auto"/>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pageBreakBefore w:val="0"/>
        <w:shd w:val="clear" w:color="auto" w:fill="auto"/>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pageBreakBefore w:val="0"/>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pageBreakBefore w:val="0"/>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pageBreakBefore w:val="0"/>
        <w:rPr>
          <w:rFonts w:hint="eastAsia" w:ascii="宋体" w:hAnsi="宋体" w:eastAsia="宋体" w:cs="宋体"/>
          <w:color w:val="auto"/>
          <w:highlight w:val="none"/>
          <w:lang w:val="zh-CN"/>
        </w:rPr>
        <w:outlineLvl w:val="9"/>
      </w:pPr>
      <w:r>
        <w:rPr>
          <w:rFonts w:hint="eastAsia" w:ascii="宋体" w:hAnsi="宋体" w:eastAsia="宋体" w:cs="宋体"/>
          <w:color w:val="auto"/>
          <w:highlight w:val="none"/>
          <w:lang w:val="zh-CN"/>
        </w:rPr>
      </w:r>
      <w:r/>
    </w:p>
    <w:p>
      <w:pPr>
        <w:pageBreakBefore w:val="0"/>
        <w:shd w:val="clear" w:color="auto" w:fill="auto"/>
        <w:rPr>
          <w:rFonts w:hint="eastAsia" w:ascii="宋体" w:hAnsi="宋体" w:eastAsia="宋体" w:cs="宋体"/>
          <w:color w:val="auto"/>
          <w:sz w:val="32"/>
          <w:highlight w:val="none"/>
          <w:lang w:val="zh-CN"/>
        </w:rPr>
        <w:outlineLvl w:val="9"/>
      </w:pPr>
      <w:r>
        <w:rPr>
          <w:rFonts w:hint="eastAsia" w:ascii="宋体" w:hAnsi="宋体" w:eastAsia="宋体" w:cs="宋体"/>
          <w:color w:val="auto"/>
          <w:sz w:val="32"/>
          <w:highlight w:val="none"/>
          <w:lang w:val="zh-CN"/>
        </w:rPr>
      </w:r>
      <w:r/>
    </w:p>
    <w:p>
      <w:pPr>
        <w:ind w:left="0" w:firstLine="0"/>
        <w:jc w:val="center"/>
        <w:keepLines w:val="0"/>
        <w:keepNext w:val="0"/>
        <w:pageBreakBefore w:val="0"/>
        <w:spacing w:line="360" w:lineRule="auto"/>
        <w:widowControl/>
        <w:rPr>
          <w:rFonts w:hint="eastAsia" w:ascii="宋体" w:hAnsi="宋体" w:eastAsia="宋体" w:cs="宋体"/>
          <w:b/>
          <w:bCs w:val="0"/>
          <w:color w:val="auto"/>
          <w:sz w:val="36"/>
          <w:szCs w:val="36"/>
          <w:highlight w:val="none"/>
          <w:lang w:val="zh-CN" w:eastAsia="zh-CN" w:bidi="ar-SA"/>
        </w:rPr>
        <w:outlineLvl w:val="9"/>
      </w:pPr>
      <w:r>
        <w:rPr>
          <w:rFonts w:hint="eastAsia" w:ascii="宋体" w:hAnsi="宋体" w:eastAsia="宋体" w:cs="宋体"/>
          <w:b/>
          <w:bCs w:val="0"/>
          <w:color w:val="auto"/>
          <w:sz w:val="36"/>
          <w:szCs w:val="36"/>
          <w:highlight w:val="none"/>
          <w:lang w:val="zh-CN" w:eastAsia="zh-CN" w:bidi="ar-SA"/>
        </w:rPr>
        <w:t xml:space="preserve">采购人：南京市公安局</w:t>
      </w:r>
      <w:r>
        <w:rPr>
          <w:rFonts w:hint="eastAsia" w:ascii="宋体" w:hAnsi="宋体" w:eastAsia="宋体" w:cs="宋体"/>
          <w:b/>
          <w:bCs w:val="0"/>
          <w:color w:val="auto"/>
          <w:sz w:val="36"/>
          <w:szCs w:val="36"/>
          <w:highlight w:val="none"/>
          <w:lang w:val="en-US" w:eastAsia="zh-CN" w:bidi="ar-SA"/>
        </w:rPr>
        <w:t xml:space="preserve">高淳</w:t>
      </w:r>
      <w:r>
        <w:rPr>
          <w:rFonts w:hint="eastAsia" w:ascii="宋体" w:hAnsi="宋体" w:eastAsia="宋体" w:cs="宋体"/>
          <w:b/>
          <w:bCs w:val="0"/>
          <w:color w:val="auto"/>
          <w:sz w:val="36"/>
          <w:szCs w:val="36"/>
          <w:highlight w:val="none"/>
          <w:lang w:val="zh-CN" w:eastAsia="zh-CN" w:bidi="ar-SA"/>
        </w:rPr>
        <w:t xml:space="preserve">分局</w:t>
      </w:r>
      <w:r/>
    </w:p>
    <w:p>
      <w:pPr>
        <w:ind w:left="0" w:firstLine="0"/>
        <w:jc w:val="center"/>
        <w:keepLines w:val="0"/>
        <w:keepNext w:val="0"/>
        <w:pageBreakBefore w:val="0"/>
        <w:spacing w:line="360" w:lineRule="auto"/>
        <w:widowControl/>
        <w:rPr>
          <w:rFonts w:hint="eastAsia" w:ascii="宋体" w:hAnsi="宋体" w:eastAsia="宋体" w:cs="宋体"/>
          <w:b/>
          <w:bCs w:val="0"/>
          <w:color w:val="auto"/>
          <w:sz w:val="36"/>
          <w:szCs w:val="36"/>
          <w:highlight w:val="none"/>
          <w:lang w:val="zh-CN" w:eastAsia="zh-CN" w:bidi="ar-SA"/>
        </w:rPr>
        <w:outlineLvl w:val="0"/>
      </w:pPr>
      <w:r/>
      <w:bookmarkStart w:id="2" w:name="_Toc8465"/>
      <w:r>
        <w:rPr>
          <w:rFonts w:hint="eastAsia" w:ascii="宋体" w:hAnsi="宋体" w:eastAsia="宋体" w:cs="宋体"/>
          <w:b/>
          <w:bCs w:val="0"/>
          <w:color w:val="auto"/>
          <w:sz w:val="36"/>
          <w:szCs w:val="36"/>
          <w:highlight w:val="none"/>
          <w:lang w:val="zh-CN" w:eastAsia="zh-CN" w:bidi="ar-SA"/>
        </w:rPr>
        <w:t xml:space="preserve">招标代理机构：</w:t>
      </w:r>
      <w:r>
        <w:rPr>
          <w:rFonts w:hint="eastAsia" w:ascii="宋体" w:hAnsi="宋体" w:eastAsia="宋体" w:cs="宋体"/>
          <w:b/>
          <w:bCs w:val="0"/>
          <w:color w:val="auto"/>
          <w:sz w:val="36"/>
          <w:szCs w:val="36"/>
          <w:highlight w:val="none"/>
          <w:lang w:val="en-US" w:eastAsia="zh-CN" w:bidi="ar-SA"/>
        </w:rPr>
        <w:t xml:space="preserve">南京宁咨工程咨询有限公司</w:t>
      </w:r>
      <w:bookmarkEnd w:id="2"/>
      <w:r/>
      <w:r/>
    </w:p>
    <w:p>
      <w:pPr>
        <w:ind w:left="0" w:firstLine="0"/>
        <w:jc w:val="center"/>
        <w:keepLines w:val="0"/>
        <w:keepNext w:val="0"/>
        <w:pageBreakBefore w:val="0"/>
        <w:rPr>
          <w:rFonts w:hint="eastAsia" w:ascii="宋体" w:hAnsi="宋体" w:eastAsia="宋体" w:cs="宋体"/>
          <w:b/>
          <w:bCs/>
          <w:color w:val="auto"/>
          <w:sz w:val="44"/>
          <w:szCs w:val="44"/>
          <w:highlight w:val="none"/>
        </w:rPr>
      </w:pPr>
      <w:r>
        <w:rPr>
          <w:rFonts w:hint="eastAsia" w:ascii="宋体" w:hAnsi="宋体" w:eastAsia="宋体" w:cs="宋体"/>
          <w:b/>
          <w:bCs/>
          <w:color w:val="auto"/>
          <w:sz w:val="36"/>
          <w:highlight w:val="none"/>
          <w:lang w:val="zh-CN"/>
        </w:rPr>
        <w:t xml:space="preserve">二O二</w:t>
      </w:r>
      <w:r>
        <w:rPr>
          <w:rFonts w:hint="eastAsia" w:ascii="宋体" w:hAnsi="宋体" w:cs="宋体"/>
          <w:b/>
          <w:bCs/>
          <w:color w:val="auto"/>
          <w:sz w:val="36"/>
          <w:highlight w:val="none"/>
          <w:lang w:val="en-US" w:eastAsia="zh-CN"/>
        </w:rPr>
        <w:t xml:space="preserve">五</w:t>
      </w:r>
      <w:r>
        <w:rPr>
          <w:rFonts w:hint="eastAsia" w:ascii="宋体" w:hAnsi="宋体" w:eastAsia="宋体" w:cs="宋体"/>
          <w:b/>
          <w:bCs/>
          <w:color w:val="auto"/>
          <w:sz w:val="36"/>
          <w:highlight w:val="none"/>
          <w:lang w:val="zh-CN"/>
        </w:rPr>
        <w:t xml:space="preserve">年</w:t>
      </w:r>
      <w:r>
        <w:rPr>
          <w:rFonts w:hint="eastAsia" w:ascii="宋体" w:hAnsi="宋体" w:cs="宋体"/>
          <w:b/>
          <w:bCs/>
          <w:color w:val="auto"/>
          <w:sz w:val="36"/>
          <w:highlight w:val="none"/>
          <w:lang w:val="en-US" w:eastAsia="zh-CN"/>
        </w:rPr>
        <w:t xml:space="preserve">十一</w:t>
      </w:r>
      <w:r>
        <w:rPr>
          <w:rFonts w:hint="eastAsia" w:ascii="宋体" w:hAnsi="宋体" w:eastAsia="宋体" w:cs="宋体"/>
          <w:b/>
          <w:bCs/>
          <w:color w:val="auto"/>
          <w:sz w:val="36"/>
          <w:highlight w:val="none"/>
          <w:lang w:val="zh-CN"/>
        </w:rPr>
        <w:t xml:space="preserve">月</w:t>
      </w:r>
      <w:r/>
    </w:p>
    <w:p>
      <w:pPr>
        <w:ind w:firstLine="880"/>
        <w:jc w:val="center"/>
        <w:rPr>
          <w:rFonts w:hint="eastAsia" w:ascii="宋体" w:hAnsi="宋体" w:eastAsia="宋体" w:cs="宋体"/>
          <w:color w:val="auto"/>
          <w:sz w:val="44"/>
          <w:szCs w:val="44"/>
          <w:highlight w:val="none"/>
        </w:rPr>
        <w:sectPr>
          <w:headerReference w:type="default" r:id="rId9"/>
          <w:footnotePr/>
          <w:endnotePr/>
          <w:type w:val="nextPage"/>
          <w:pgSz w:w="11906" w:h="16838" w:orient="portrait"/>
          <w:pgMar w:top="1134" w:right="1020" w:bottom="1134" w:left="1020" w:header="851" w:footer="992" w:gutter="0"/>
          <w:cols w:num="1" w:sep="0" w:space="720" w:equalWidth="1"/>
          <w:docGrid w:linePitch="360"/>
        </w:sectPr>
      </w:pPr>
      <w:r>
        <w:rPr>
          <w:rFonts w:hint="eastAsia" w:ascii="宋体" w:hAnsi="宋体" w:eastAsia="宋体" w:cs="宋体"/>
          <w:color w:val="auto"/>
          <w:sz w:val="44"/>
          <w:szCs w:val="44"/>
          <w:highlight w:val="none"/>
        </w:rPr>
      </w:r>
      <w:r/>
    </w:p>
    <w:p>
      <w:pPr>
        <w:ind w:firstLine="880"/>
        <w:jc w:val="center"/>
        <w:rPr>
          <w:rFonts w:hint="eastAsia" w:ascii="宋体" w:hAnsi="宋体" w:eastAsia="宋体" w:cs="宋体"/>
          <w:color w:val="auto"/>
          <w:sz w:val="112"/>
          <w:szCs w:val="112"/>
          <w:highlight w:val="none"/>
        </w:rPr>
      </w:pPr>
      <w:r>
        <w:rPr>
          <w:rFonts w:hint="eastAsia" w:ascii="宋体" w:hAnsi="宋体" w:eastAsia="宋体" w:cs="宋体"/>
          <w:color w:val="auto"/>
          <w:sz w:val="112"/>
          <w:szCs w:val="112"/>
          <w:highlight w:val="none"/>
        </w:rPr>
      </w:r>
      <w:r/>
    </w:p>
    <w:sdt>
      <w:sdtPr>
        <w15:appearance w15:val="boundingBox"/>
        <w15:color w:val="dbdbdb"/>
        <w:id w:val="147455506"/>
        <w:docPartObj>
          <w:docPartGallery w:val="Table of Contents"/>
          <w:docPartUnique w:val="true"/>
        </w:docPartObj>
        <w:rPr>
          <w:rFonts w:hint="default" w:ascii="宋体" w:hAnsi="宋体" w:eastAsia="宋体" w:cs="Times New Roman"/>
          <w:color w:val="auto"/>
          <w:sz w:val="44"/>
          <w:szCs w:val="52"/>
          <w:highlight w:val="none"/>
        </w:rPr>
      </w:sdtPr>
      <w:sdtContent>
        <w:p>
          <w:pPr>
            <w:ind w:left="0" w:right="0" w:firstLine="0"/>
            <w:jc w:val="center"/>
            <w:spacing w:before="0" w:after="0" w:line="240" w:lineRule="auto"/>
            <w:rPr>
              <w:color w:val="auto"/>
              <w:sz w:val="44"/>
              <w:szCs w:val="52"/>
              <w:highlight w:val="none"/>
            </w:rPr>
          </w:pPr>
          <w:r>
            <w:rPr>
              <w:rFonts w:ascii="宋体" w:hAnsi="宋体" w:eastAsia="宋体"/>
              <w:color w:val="auto"/>
              <w:sz w:val="44"/>
              <w:szCs w:val="52"/>
              <w:highlight w:val="none"/>
            </w:rPr>
            <w:t xml:space="preserve">目录</w:t>
          </w:r>
          <w:r/>
        </w:p>
        <w:p>
          <w:pPr>
            <w:pStyle w:val="1199"/>
            <w:tabs>
              <w:tab w:val="right" w:pos="9866" w:leader="dot"/>
            </w:tabs>
            <w:rPr>
              <w:color w:val="auto"/>
              <w:sz w:val="40"/>
              <w:szCs w:val="40"/>
              <w:highlight w:val="none"/>
            </w:rPr>
          </w:pPr>
          <w:r>
            <w:rPr>
              <w:rFonts w:hint="eastAsia" w:ascii="宋体" w:hAnsi="宋体" w:eastAsia="宋体" w:cs="宋体"/>
              <w:color w:val="auto"/>
              <w:sz w:val="96"/>
              <w:szCs w:val="96"/>
              <w:highlight w:val="none"/>
            </w:rPr>
            <w:fldChar w:fldCharType="begin"/>
          </w:r>
          <w:r>
            <w:rPr>
              <w:rFonts w:hint="eastAsia" w:ascii="宋体" w:hAnsi="宋体" w:eastAsia="宋体" w:cs="宋体"/>
              <w:color w:val="auto"/>
              <w:sz w:val="96"/>
              <w:szCs w:val="96"/>
              <w:highlight w:val="none"/>
            </w:rPr>
            <w:instrText xml:space="preserve">TOC \o "1-1" \h \u </w:instrText>
          </w:r>
          <w:r>
            <w:rPr>
              <w:rFonts w:hint="eastAsia" w:ascii="宋体" w:hAnsi="宋体" w:eastAsia="宋体" w:cs="宋体"/>
              <w:color w:val="auto"/>
              <w:sz w:val="96"/>
              <w:szCs w:val="96"/>
              <w:highlight w:val="none"/>
            </w:rPr>
            <w:fldChar w:fldCharType="separate"/>
          </w:r>
          <w:r/>
        </w:p>
        <w:p>
          <w:pPr>
            <w:pStyle w:val="119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_Toc13531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 xml:space="preserve">第一章 </w:t>
          </w:r>
          <w:r>
            <w:rPr>
              <w:rFonts w:hint="eastAsia" w:ascii="宋体" w:hAnsi="宋体" w:cs="宋体"/>
              <w:color w:val="auto"/>
              <w:sz w:val="32"/>
              <w:szCs w:val="56"/>
              <w:highlight w:val="none"/>
              <w:lang w:val="en-US" w:eastAsia="zh-CN"/>
            </w:rPr>
            <w:t xml:space="preserve">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_Toc13531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19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_Toc31338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lang w:val="zh-CN"/>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_Toc31338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19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_Toc2217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56"/>
              <w:highlight w:val="none"/>
            </w:rPr>
            <w:t xml:space="preserve">第三章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_Toc2217 \h </w:instrText>
          </w:r>
          <w:r>
            <w:rPr>
              <w:color w:val="auto"/>
              <w:sz w:val="32"/>
              <w:szCs w:val="32"/>
              <w:highlight w:val="none"/>
            </w:rPr>
            <w:fldChar w:fldCharType="separate"/>
          </w:r>
          <w:r>
            <w:rPr>
              <w:color w:val="auto"/>
              <w:sz w:val="32"/>
              <w:szCs w:val="32"/>
              <w:highlight w:val="none"/>
            </w:rPr>
            <w:t xml:space="preserve">15</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19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_Toc23582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 xml:space="preserve">第四章 招标项目说明及技术要求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_Toc23582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19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_Toc22104 </w:instrText>
          </w:r>
          <w:r>
            <w:rPr>
              <w:rFonts w:hint="eastAsia" w:ascii="宋体" w:hAnsi="宋体" w:eastAsia="宋体" w:cs="宋体"/>
              <w:color w:val="auto"/>
              <w:sz w:val="32"/>
              <w:szCs w:val="60"/>
              <w:highlight w:val="none"/>
            </w:rPr>
            <w:fldChar w:fldCharType="separate"/>
          </w:r>
          <w:r>
            <w:rPr>
              <w:rFonts w:hint="eastAsia" w:ascii="宋体" w:hAnsi="宋体" w:eastAsia="宋体" w:cs="宋体"/>
              <w:color w:val="auto"/>
              <w:sz w:val="32"/>
              <w:szCs w:val="60"/>
              <w:highlight w:val="none"/>
            </w:rPr>
            <w:t xml:space="preserve">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_Toc22104 \h </w:instrText>
          </w:r>
          <w:r>
            <w:rPr>
              <w:color w:val="auto"/>
              <w:sz w:val="32"/>
              <w:szCs w:val="32"/>
              <w:highlight w:val="none"/>
            </w:rPr>
            <w:fldChar w:fldCharType="separate"/>
          </w:r>
          <w:r>
            <w:rPr>
              <w:color w:val="auto"/>
              <w:sz w:val="32"/>
              <w:szCs w:val="32"/>
              <w:highlight w:val="none"/>
            </w:rPr>
            <w:t xml:space="preserve">26</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pStyle w:val="1199"/>
            <w:keepLines w:val="0"/>
            <w:keepNext w:val="0"/>
            <w:pageBreakBefore w:val="0"/>
            <w:spacing w:line="480" w:lineRule="auto"/>
            <w:widowControl/>
            <w:tabs>
              <w:tab w:val="right" w:pos="9866" w:leader="dot"/>
            </w:tabs>
            <w:rPr>
              <w:color w:val="auto"/>
              <w:sz w:val="32"/>
              <w:szCs w:val="32"/>
              <w:highlight w:val="none"/>
            </w:rPr>
          </w:pPr>
          <w:r>
            <w:rPr>
              <w:rFonts w:hint="eastAsia" w:ascii="宋体" w:hAnsi="宋体" w:eastAsia="宋体" w:cs="宋体"/>
              <w:color w:val="auto"/>
              <w:sz w:val="32"/>
              <w:szCs w:val="60"/>
              <w:highlight w:val="none"/>
            </w:rPr>
            <w:fldChar w:fldCharType="begin"/>
          </w:r>
          <w:r>
            <w:rPr>
              <w:rFonts w:hint="eastAsia" w:ascii="宋体" w:hAnsi="宋体" w:eastAsia="宋体" w:cs="宋体"/>
              <w:color w:val="auto"/>
              <w:sz w:val="32"/>
              <w:szCs w:val="60"/>
              <w:highlight w:val="none"/>
            </w:rPr>
            <w:instrText xml:space="preserve"> HYPERLINK \l _Toc31820 </w:instrText>
          </w:r>
          <w:r>
            <w:rPr>
              <w:rFonts w:hint="eastAsia" w:ascii="宋体" w:hAnsi="宋体" w:eastAsia="宋体" w:cs="宋体"/>
              <w:color w:val="auto"/>
              <w:sz w:val="32"/>
              <w:szCs w:val="60"/>
              <w:highlight w:val="none"/>
            </w:rPr>
            <w:fldChar w:fldCharType="separate"/>
          </w:r>
          <w:r>
            <w:rPr>
              <w:rFonts w:hint="eastAsia" w:ascii="宋体" w:hAnsi="宋体" w:eastAsia="宋体" w:cs="宋体"/>
              <w:bCs w:val="0"/>
              <w:color w:val="auto"/>
              <w:sz w:val="32"/>
              <w:szCs w:val="48"/>
              <w:highlight w:val="none"/>
              <w:lang w:val="zh-CN"/>
            </w:rPr>
            <w:t xml:space="preserve">第六章 </w:t>
          </w:r>
          <w:r>
            <w:rPr>
              <w:rFonts w:hint="eastAsia" w:ascii="宋体" w:hAnsi="宋体" w:eastAsia="宋体" w:cs="宋体"/>
              <w:bCs w:val="0"/>
              <w:color w:val="auto"/>
              <w:sz w:val="32"/>
              <w:szCs w:val="48"/>
              <w:highlight w:val="none"/>
            </w:rPr>
            <w:t xml:space="preserve">投标书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_Toc31820 \h </w:instrText>
          </w:r>
          <w:r>
            <w:rPr>
              <w:color w:val="auto"/>
              <w:sz w:val="32"/>
              <w:szCs w:val="32"/>
              <w:highlight w:val="none"/>
            </w:rPr>
            <w:fldChar w:fldCharType="separate"/>
          </w:r>
          <w:r>
            <w:rPr>
              <w:color w:val="auto"/>
              <w:sz w:val="32"/>
              <w:szCs w:val="32"/>
              <w:highlight w:val="none"/>
            </w:rPr>
            <w:t xml:space="preserve">39</w:t>
          </w:r>
          <w:r>
            <w:rPr>
              <w:color w:val="auto"/>
              <w:sz w:val="32"/>
              <w:szCs w:val="32"/>
              <w:highlight w:val="none"/>
            </w:rPr>
            <w:fldChar w:fldCharType="end"/>
          </w:r>
          <w:r>
            <w:rPr>
              <w:rFonts w:hint="eastAsia" w:ascii="宋体" w:hAnsi="宋体" w:eastAsia="宋体" w:cs="宋体"/>
              <w:color w:val="auto"/>
              <w:sz w:val="32"/>
              <w:szCs w:val="60"/>
              <w:highlight w:val="none"/>
            </w:rPr>
            <w:fldChar w:fldCharType="end"/>
          </w:r>
          <w:r/>
        </w:p>
        <w:p>
          <w:pPr>
            <w:ind w:firstLine="2640"/>
            <w:jc w:val="left"/>
            <w:keepLines w:val="0"/>
            <w:keepNext w:val="0"/>
            <w:pageBreakBefore w:val="0"/>
            <w:widowControl w:val="off"/>
            <w:rPr>
              <w:rFonts w:hint="eastAsia" w:ascii="宋体" w:hAnsi="宋体" w:eastAsia="宋体" w:cs="宋体"/>
              <w:color w:val="auto"/>
              <w:sz w:val="21"/>
              <w:szCs w:val="40"/>
              <w:highlight w:val="none"/>
            </w:rPr>
          </w:pPr>
          <w:r>
            <w:rPr>
              <w:rFonts w:hint="eastAsia" w:ascii="宋体" w:hAnsi="宋体" w:eastAsia="宋体" w:cs="宋体"/>
              <w:color w:val="auto"/>
              <w:sz w:val="44"/>
              <w:szCs w:val="96"/>
              <w:highlight w:val="none"/>
            </w:rPr>
            <w:fldChar w:fldCharType="end"/>
          </w:r>
          <w:r/>
        </w:p>
      </w:sdtContent>
    </w:sdt>
    <w:p>
      <w:pPr>
        <w:pStyle w:val="746"/>
        <w:rPr>
          <w:rFonts w:hint="eastAsia"/>
          <w:color w:val="auto"/>
          <w:highlight w:val="none"/>
        </w:rPr>
      </w:pPr>
      <w:r>
        <w:rPr>
          <w:rFonts w:hint="eastAsia"/>
          <w:color w:val="auto"/>
          <w:highlight w:val="none"/>
        </w:rPr>
      </w:r>
      <w:r/>
    </w:p>
    <w:p>
      <w:pPr>
        <w:ind w:firstLine="562"/>
        <w:jc w:val="center"/>
        <w:spacing w:line="360" w:lineRule="auto"/>
        <w:rPr>
          <w:rFonts w:hint="eastAsia" w:ascii="宋体" w:hAnsi="宋体" w:eastAsia="宋体" w:cs="宋体"/>
          <w:b/>
          <w:color w:val="auto"/>
          <w:sz w:val="36"/>
          <w:szCs w:val="36"/>
          <w:highlight w:val="none"/>
          <w:lang w:val="zh-CN"/>
        </w:rPr>
        <w:sectPr>
          <w:headerReference w:type="default" r:id="rId10"/>
          <w:footerReference w:type="default" r:id="rId12"/>
          <w:footnotePr/>
          <w:endnotePr/>
          <w:type w:val="nextPage"/>
          <w:pgSz w:w="11906" w:h="16839" w:orient="portrait"/>
          <w:pgMar w:top="1134" w:right="1020" w:bottom="1134" w:left="1020" w:header="227" w:footer="755" w:gutter="0"/>
          <w:pgNumType w:start="1"/>
          <w:cols w:num="1" w:sep="0" w:space="720" w:equalWidth="1"/>
          <w:docGrid w:linePitch="360"/>
        </w:sectPr>
        <w:outlineLvl w:val="0"/>
      </w:pPr>
      <w:r/>
      <w:bookmarkStart w:id="3" w:name="_Toc31544"/>
      <w:r/>
      <w:bookmarkStart w:id="4" w:name="_Toc32573"/>
      <w:r/>
      <w:bookmarkStart w:id="5" w:name="_Toc3288"/>
      <w:r/>
      <w:bookmarkStart w:id="6" w:name="_Toc26665"/>
      <w:r/>
      <w:bookmarkStart w:id="7" w:name="_Toc30442"/>
      <w:r/>
      <w:bookmarkStart w:id="8" w:name="_Toc3375"/>
      <w:r/>
      <w:bookmarkStart w:id="9" w:name="_Toc9992"/>
      <w:r/>
      <w:bookmarkStart w:id="10" w:name="_Toc20150"/>
      <w:r/>
      <w:bookmarkStart w:id="11" w:name="_Toc18842"/>
      <w:r/>
      <w:bookmarkStart w:id="12" w:name="_Toc2414"/>
      <w:r/>
      <w:bookmarkStart w:id="13" w:name="_Toc18235"/>
      <w:r/>
      <w:bookmarkStart w:id="14" w:name="_Toc26696"/>
      <w:r/>
      <w:bookmarkStart w:id="15" w:name="_Toc7975"/>
      <w:r/>
      <w:bookmarkStart w:id="16" w:name="_Toc8577"/>
      <w:r/>
      <w:bookmarkStart w:id="17" w:name="_Toc15092"/>
      <w:r/>
      <w:bookmarkStart w:id="18" w:name="_Toc15675"/>
      <w:r/>
      <w:bookmarkStart w:id="19" w:name="_Toc13418"/>
      <w:r/>
      <w:bookmarkStart w:id="20" w:name="_Toc26245"/>
      <w:r/>
      <w:bookmarkStart w:id="21" w:name="_Toc31849"/>
      <w:r/>
      <w:bookmarkStart w:id="22" w:name="_Toc5320"/>
      <w:r/>
      <w:bookmarkStart w:id="23" w:name="_Toc27679"/>
      <w:r/>
      <w:bookmarkStart w:id="24" w:name="_Toc116284540"/>
      <w:r/>
      <w:bookmarkStart w:id="25" w:name="_Toc20050"/>
      <w:r/>
      <w:bookmarkStart w:id="26" w:name="_Toc19150"/>
      <w:r/>
      <w:bookmarkStart w:id="27" w:name="_Toc30293"/>
      <w:r/>
      <w:bookmarkStart w:id="28" w:name="_Toc7220"/>
      <w:r/>
      <w:bookmarkStart w:id="29" w:name="_Toc153441890"/>
      <w:r/>
      <w:bookmarkStart w:id="30" w:name="_Toc32267"/>
      <w:r/>
      <w:bookmarkStart w:id="31" w:name="_Toc9497"/>
      <w:r/>
      <w:bookmarkStart w:id="32" w:name="_Toc27392"/>
      <w:r/>
      <w:bookmarkStart w:id="33" w:name="_Toc13531"/>
      <w:r/>
      <w:r/>
    </w:p>
    <w:p>
      <w:pPr>
        <w:ind w:firstLine="562"/>
        <w:jc w:val="center"/>
        <w:spacing w:line="360" w:lineRule="auto"/>
        <w:rPr>
          <w:rStyle w:val="985"/>
          <w:rFonts w:hint="default" w:ascii="宋体" w:hAnsi="宋体" w:eastAsia="宋体" w:cs="宋体"/>
          <w:b/>
          <w:bCs/>
          <w:color w:val="auto"/>
          <w:sz w:val="28"/>
          <w:szCs w:val="28"/>
          <w:highlight w:val="none"/>
          <w:lang w:val="en-US" w:eastAsia="zh-CN"/>
        </w:rPr>
        <w:outlineLvl w:val="0"/>
      </w:pPr>
      <w:r>
        <w:rPr>
          <w:rFonts w:hint="eastAsia" w:ascii="宋体" w:hAnsi="宋体" w:eastAsia="宋体" w:cs="宋体"/>
          <w:b/>
          <w:color w:val="auto"/>
          <w:sz w:val="36"/>
          <w:szCs w:val="36"/>
          <w:highlight w:val="none"/>
          <w:lang w:val="zh-CN"/>
        </w:rPr>
        <w:t xml:space="preserve">第一章 </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Pr>
          <w:rFonts w:hint="eastAsia" w:ascii="宋体" w:hAnsi="宋体" w:cs="宋体"/>
          <w:b/>
          <w:color w:val="auto"/>
          <w:sz w:val="36"/>
          <w:szCs w:val="36"/>
          <w:highlight w:val="none"/>
          <w:lang w:val="en-US" w:eastAsia="zh-CN"/>
        </w:rPr>
        <w:t xml:space="preserve">投标邀请</w:t>
      </w:r>
      <w:bookmarkEnd w:id="33"/>
      <w:r/>
      <w:r/>
    </w:p>
    <w:p>
      <w:pPr>
        <w:ind w:firstLine="422"/>
        <w:jc w:val="left"/>
        <w:spacing w:line="360" w:lineRule="exac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项目概况</w:t>
      </w:r>
      <w:r/>
    </w:p>
    <w:p>
      <w:pPr>
        <w:ind w:firstLine="420"/>
        <w:jc w:val="left"/>
        <w:spacing w:line="360" w:lineRule="exact"/>
        <w:rPr>
          <w:rFonts w:hint="eastAsia" w:ascii="宋体" w:hAnsi="宋体" w:eastAsia="宋体" w:cs="宋体"/>
          <w:color w:val="auto"/>
          <w:sz w:val="24"/>
          <w:szCs w:val="32"/>
          <w:highlight w:val="none"/>
        </w:rPr>
      </w:pPr>
      <w:r>
        <w:rPr>
          <w:rFonts w:hint="eastAsia" w:ascii="宋体" w:hAnsi="宋体" w:cs="宋体"/>
          <w:color w:val="auto"/>
          <w:sz w:val="24"/>
          <w:szCs w:val="32"/>
          <w:highlight w:val="none"/>
          <w:u w:val="single"/>
          <w:lang w:eastAsia="zh-CN"/>
        </w:rPr>
        <w:t xml:space="preserve">2026年度南京市公安局高淳分局食堂食材采购</w:t>
      </w:r>
      <w:r>
        <w:rPr>
          <w:rFonts w:hint="eastAsia" w:ascii="宋体" w:hAnsi="宋体" w:eastAsia="宋体" w:cs="宋体"/>
          <w:color w:val="auto"/>
          <w:sz w:val="24"/>
          <w:szCs w:val="32"/>
          <w:highlight w:val="none"/>
        </w:rPr>
        <w:t xml:space="preserve">招标项目的潜在供应商应在</w:t>
      </w:r>
      <w:r>
        <w:rPr>
          <w:rFonts w:hint="eastAsia" w:ascii="宋体" w:hAnsi="宋体" w:cs="宋体"/>
          <w:color w:val="auto"/>
          <w:sz w:val="24"/>
          <w:szCs w:val="32"/>
          <w:highlight w:val="none"/>
          <w:u w:val="single"/>
          <w:lang w:eastAsia="zh-CN"/>
        </w:rPr>
        <w:t xml:space="preserve">南京市高淳区丹阳湖北路56号30栋605</w:t>
      </w:r>
      <w:r>
        <w:rPr>
          <w:rFonts w:hint="eastAsia" w:ascii="宋体" w:hAnsi="宋体" w:eastAsia="宋体" w:cs="宋体"/>
          <w:color w:val="auto"/>
          <w:sz w:val="24"/>
          <w:szCs w:val="32"/>
          <w:highlight w:val="none"/>
        </w:rPr>
        <w:t xml:space="preserve">获取招标文件，并于</w:t>
      </w:r>
      <w:r>
        <w:rPr>
          <w:rFonts w:hint="eastAsia" w:ascii="宋体" w:hAnsi="宋体" w:cs="宋体"/>
          <w:color w:val="auto"/>
          <w:sz w:val="24"/>
          <w:szCs w:val="32"/>
          <w:highlight w:val="none"/>
          <w:u w:val="single"/>
          <w:lang w:eastAsia="zh-CN"/>
        </w:rPr>
        <w:t xml:space="preserve">2025年12月</w:t>
      </w:r>
      <w:r>
        <w:rPr>
          <w:rFonts w:hint="eastAsia" w:ascii="宋体" w:hAnsi="宋体" w:cs="宋体"/>
          <w:color w:val="auto"/>
          <w:sz w:val="24"/>
          <w:szCs w:val="32"/>
          <w:highlight w:val="none"/>
          <w:u w:val="single"/>
          <w:lang w:val="en-US" w:eastAsia="zh-CN"/>
        </w:rPr>
        <w:t xml:space="preserve">18</w:t>
      </w:r>
      <w:r>
        <w:rPr>
          <w:rFonts w:hint="eastAsia" w:ascii="宋体" w:hAnsi="宋体" w:cs="宋体"/>
          <w:color w:val="auto"/>
          <w:sz w:val="24"/>
          <w:szCs w:val="32"/>
          <w:highlight w:val="none"/>
          <w:u w:val="single"/>
          <w:lang w:eastAsia="zh-CN"/>
        </w:rPr>
        <w:t xml:space="preserve">日</w:t>
      </w:r>
      <w:r>
        <w:rPr>
          <w:rFonts w:hint="eastAsia" w:ascii="宋体" w:hAnsi="宋体" w:eastAsia="宋体" w:cs="宋体"/>
          <w:color w:val="auto"/>
          <w:sz w:val="24"/>
          <w:szCs w:val="32"/>
          <w:highlight w:val="none"/>
          <w:u w:val="single"/>
        </w:rPr>
        <w:t xml:space="preserve">14点30分</w:t>
      </w:r>
      <w:r>
        <w:rPr>
          <w:rFonts w:hint="eastAsia" w:ascii="宋体" w:hAnsi="宋体" w:eastAsia="宋体" w:cs="宋体"/>
          <w:color w:val="auto"/>
          <w:sz w:val="24"/>
          <w:szCs w:val="32"/>
          <w:highlight w:val="none"/>
        </w:rPr>
        <w:t xml:space="preserve">（北京时间）前递交投标文件。</w:t>
      </w:r>
      <w:r/>
    </w:p>
    <w:p>
      <w:pPr>
        <w:ind w:firstLine="422"/>
        <w:jc w:val="left"/>
        <w:spacing w:line="360" w:lineRule="exact"/>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一、项目基本情况 </w:t>
      </w:r>
      <w:r/>
    </w:p>
    <w:p>
      <w:pPr>
        <w:ind w:firstLine="42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项目编号：JSZC-320118-NJGS-G2025-0006</w:t>
      </w:r>
      <w:r/>
    </w:p>
    <w:p>
      <w:pPr>
        <w:ind w:firstLine="420"/>
        <w:jc w:val="left"/>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2026年度南京市公安局高淳分局食堂食材采购</w:t>
      </w:r>
      <w:r/>
    </w:p>
    <w:p>
      <w:pPr>
        <w:ind w:firstLine="420"/>
        <w:jc w:val="left"/>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val="en-US" w:eastAsia="zh-CN"/>
        </w:rPr>
        <w:t xml:space="preserve">万元</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2026年度南京市公安局高淳分局食堂食材采购</w:t>
      </w:r>
      <w:r>
        <w:rPr>
          <w:rFonts w:hint="eastAsia" w:ascii="宋体" w:hAnsi="宋体" w:eastAsia="宋体" w:cs="宋体"/>
          <w:color w:val="auto"/>
          <w:sz w:val="24"/>
          <w:szCs w:val="24"/>
          <w:highlight w:val="none"/>
        </w:rPr>
        <w:t xml:space="preserve">服务，配送地址为南京市公安局高淳分局（南京市高淳区淳溪镇镇兴路150号）。</w:t>
      </w:r>
      <w:r/>
    </w:p>
    <w:p>
      <w:pPr>
        <w:ind w:firstLine="42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合同履行期限：12个月（具体以合同签订时间为准）。</w:t>
      </w:r>
      <w:r/>
    </w:p>
    <w:p>
      <w:pPr>
        <w:ind w:firstLine="420"/>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ind w:firstLine="420"/>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本项目标的所属行业：餐饮业。</w:t>
      </w:r>
      <w:r/>
    </w:p>
    <w:p>
      <w:pPr>
        <w:ind w:firstLine="422"/>
        <w:jc w:val="left"/>
        <w:spacing w:line="360" w:lineRule="exact"/>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二、申请人的资格要求</w:t>
      </w:r>
      <w:r/>
    </w:p>
    <w:p>
      <w:pPr>
        <w:ind w:firstLine="422"/>
        <w:jc w:val="left"/>
        <w:spacing w:line="360" w:lineRule="exac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2.1满足《中华人民共和国政府采购法》第二十二条规定：</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(1)具有独立承担民事责任的能力（提供法人或者其他组织的营业执照等；供应商为自然人的，提供其身份证）；</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(2)具有良好的商业信誉和健全的财务会计制度（提供参加本次政府采购活动前的会计报表（至少包含资产负债表、利润表）或年度财务报告）；</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(3)具有履行合同所必需的设备和专业技术能力（根据项目需求提供履行合同所必需的设备和专业技术能力的声明或证明材料）；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(4)有依法缴纳税收和社会保障资金的良好记录（提供参加本次政府采购活动前一年内（至少一个月）依法缴纳税收和社会保障资金的相关资料；根据国家相关政策免缴或迟缴的需提供相关证明材料）；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(6)法律、行政法规规定的其他条件：无。</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注：在政府采购资格审查环节，供应商只需提供书面《南京市政府采购供应商信用记录表暨信用承诺书》，即可替代以下证明材料：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(1)符合国家相关规定的财务状况报告；</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(2)依法缴纳税收的证明材料；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(3)依法缴纳社会保障资金的证明材料；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(4)具备履行政府采购合同所必需的设备和专业技术能力的证明材料；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(5)参加政府采购活动前三年内在经营活动中没有重大违法记录的证明材料；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(6)未被列入失信被执行人、重大税收违法失信主体、政府采购严重违法失信行为记录名单的证明材料。</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供应商涉及以下情形的，不适用信用承诺：</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(1)供应商被列入严重失信主体名单；</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(2)被相关监管部门作出行政处罚且尚在处罚有效期内；</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(3)其他法律、行政法规规定的不适用信用承诺的情形。</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供应商对信用承诺内容的真实性、合法性、有效性负责。如作出虚假信用承诺，视同为“提供虚假材料谋取中标、成交”的违法行为。</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color w:val="auto"/>
          <w:sz w:val="24"/>
          <w:szCs w:val="3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22"/>
        <w:jc w:val="left"/>
        <w:spacing w:line="360" w:lineRule="exac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2.2 采购人根据采购项目的特殊要求规定的特定条件，并提供相关证明文件：</w:t>
      </w:r>
      <w:r/>
    </w:p>
    <w:p>
      <w:pPr>
        <w:pStyle w:val="1189"/>
        <w:ind w:left="0" w:firstLine="480"/>
        <w:jc w:val="both"/>
        <w:keepLines w:val="0"/>
        <w:keepNext w:val="0"/>
        <w:pageBreakBefore w:val="0"/>
        <w:spacing w:before="0" w:beforeAutospacing="0" w:after="0" w:afterAutospacing="0" w:line="360" w:lineRule="auto"/>
        <w:widowControl/>
        <w:rPr>
          <w:rStyle w:val="1190"/>
          <w:rFonts w:hint="eastAsia" w:ascii="Times New Roman" w:hAnsi="Times New Roman" w:eastAsia="宋体" w:cs="Times New Roman"/>
          <w:bCs/>
          <w:color w:val="auto"/>
          <w:sz w:val="24"/>
          <w:szCs w:val="32"/>
          <w:highlight w:val="none"/>
        </w:rPr>
      </w:pPr>
      <w:r>
        <w:rPr>
          <w:rStyle w:val="1190"/>
          <w:rFonts w:hint="eastAsia" w:ascii="Times New Roman" w:hAnsi="Times New Roman" w:eastAsia="宋体" w:cs="Times New Roman"/>
          <w:bCs/>
          <w:color w:val="auto"/>
          <w:sz w:val="24"/>
          <w:szCs w:val="32"/>
          <w:highlight w:val="none"/>
        </w:rPr>
        <w:t xml:space="preserve">（1）</w:t>
      </w:r>
      <w:r>
        <w:rPr>
          <w:rStyle w:val="1190"/>
          <w:rFonts w:hint="eastAsia" w:ascii="Times New Roman" w:hAnsi="Times New Roman"/>
          <w:bCs/>
          <w:color w:val="auto"/>
          <w:sz w:val="24"/>
          <w:szCs w:val="32"/>
          <w:highlight w:val="none"/>
        </w:rPr>
        <w:t xml:space="preserve">供应商须提供有效期范围内的《食品经营许可证》（若为生产型企业还须提供《食品生产许可证》）（提供相关证明材料复印件加盖公章）；</w:t>
      </w:r>
      <w:r/>
    </w:p>
    <w:p>
      <w:pPr>
        <w:ind w:firstLine="422"/>
        <w:jc w:val="left"/>
        <w:spacing w:line="360" w:lineRule="exact"/>
        <w:rPr>
          <w:rStyle w:val="1190"/>
          <w:rFonts w:hint="eastAsia" w:ascii="Times New Roman" w:hAnsi="Times New Roman" w:eastAsia="宋体" w:cs="Times New Roman"/>
          <w:bCs/>
          <w:color w:val="auto"/>
          <w:sz w:val="24"/>
          <w:szCs w:val="32"/>
          <w:highlight w:val="none"/>
        </w:rPr>
      </w:pPr>
      <w:r>
        <w:rPr>
          <w:rStyle w:val="1190"/>
          <w:rFonts w:hint="eastAsia" w:ascii="Times New Roman" w:hAnsi="Times New Roman" w:eastAsia="宋体" w:cs="Times New Roman"/>
          <w:bCs/>
          <w:color w:val="auto"/>
          <w:sz w:val="24"/>
          <w:szCs w:val="32"/>
          <w:highlight w:val="none"/>
        </w:rPr>
        <w:t xml:space="preserve">（2）凡是政府有关部门正在查处的企业、有违法经营及食品安全事故等不良记录不得参与本项目采购（不良记录由采购方认定，若供货商承诺不属实，一经查实将取消其投标资格或入选供货商、候选供货商资格）(提供承诺书加盖公章）</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2.3 拒绝下述供应商参加本次采购活动：</w:t>
      </w:r>
      <w:r/>
    </w:p>
    <w:p>
      <w:pPr>
        <w:pStyle w:val="1189"/>
        <w:ind w:left="0" w:firstLine="480"/>
        <w:jc w:val="both"/>
        <w:keepLines w:val="0"/>
        <w:keepNext w:val="0"/>
        <w:pageBreakBefore w:val="0"/>
        <w:spacing w:before="0" w:beforeAutospacing="0" w:after="0" w:afterAutospacing="0" w:line="360" w:lineRule="auto"/>
        <w:widowControl/>
        <w:rPr>
          <w:rStyle w:val="1190"/>
          <w:rFonts w:hint="eastAsia" w:ascii="Times New Roman" w:hAnsi="Times New Roman" w:eastAsia="宋体" w:cs="Times New Roman"/>
          <w:bCs/>
          <w:color w:val="auto"/>
          <w:sz w:val="24"/>
          <w:szCs w:val="32"/>
          <w:highlight w:val="none"/>
          <w:lang w:val="en-US" w:eastAsia="zh-CN"/>
        </w:rPr>
      </w:pPr>
      <w:r>
        <w:rPr>
          <w:rStyle w:val="1190"/>
          <w:rFonts w:hint="eastAsia" w:ascii="Times New Roman" w:hAnsi="Times New Roman" w:eastAsia="宋体" w:cs="Times New Roman"/>
          <w:bCs/>
          <w:color w:val="auto"/>
          <w:sz w:val="24"/>
          <w:szCs w:val="32"/>
          <w:highlight w:val="none"/>
          <w:lang w:val="en-US" w:eastAsia="zh-CN"/>
        </w:rPr>
        <w:t xml:space="preserve">（1）供应商单位负责人为同一人或者存在直接控股、管理关系的不同供应商，不得参加同一合同项下的采购活动。（符合并提供承诺书）</w:t>
      </w:r>
      <w:r/>
    </w:p>
    <w:p>
      <w:pPr>
        <w:pStyle w:val="1189"/>
        <w:ind w:left="0" w:firstLine="480"/>
        <w:jc w:val="both"/>
        <w:keepLines w:val="0"/>
        <w:keepNext w:val="0"/>
        <w:pageBreakBefore w:val="0"/>
        <w:spacing w:before="0" w:beforeAutospacing="0" w:after="0" w:afterAutospacing="0" w:line="360" w:lineRule="auto"/>
        <w:widowControl/>
        <w:rPr>
          <w:rStyle w:val="1190"/>
          <w:rFonts w:hint="eastAsia" w:ascii="Times New Roman" w:hAnsi="Times New Roman" w:eastAsia="宋体" w:cs="Times New Roman"/>
          <w:bCs/>
          <w:color w:val="auto"/>
          <w:sz w:val="24"/>
          <w:szCs w:val="32"/>
          <w:highlight w:val="none"/>
          <w:lang w:val="en-US" w:eastAsia="zh-CN"/>
        </w:rPr>
      </w:pPr>
      <w:r>
        <w:rPr>
          <w:rStyle w:val="1190"/>
          <w:rFonts w:hint="eastAsia" w:ascii="Times New Roman" w:hAnsi="Times New Roman" w:eastAsia="宋体" w:cs="Times New Roman"/>
          <w:bCs/>
          <w:color w:val="auto"/>
          <w:sz w:val="24"/>
          <w:szCs w:val="32"/>
          <w:highlight w:val="none"/>
          <w:lang w:val="en-US" w:eastAsia="zh-CN"/>
        </w:rPr>
        <w:t xml:space="preserve">（2）凡为采购项目提供整体设计、规范编制或者项目管理、监理、检测等服务的供应商，不得再参加本项目的采购活动。（符合并提供承诺书）</w:t>
      </w:r>
      <w:r/>
    </w:p>
    <w:p>
      <w:pPr>
        <w:ind w:firstLine="420"/>
        <w:jc w:val="left"/>
        <w:spacing w:line="360" w:lineRule="exact"/>
        <w:tabs>
          <w:tab w:val="left" w:pos="5670" w:leader="none"/>
        </w:tabs>
        <w:rPr>
          <w:rFonts w:hint="eastAsia" w:ascii="宋体" w:hAnsi="宋体" w:eastAsia="宋体" w:cs="宋体"/>
          <w:color w:val="auto"/>
          <w:sz w:val="24"/>
          <w:szCs w:val="32"/>
          <w:highlight w:val="none"/>
        </w:rPr>
      </w:pPr>
      <w:r>
        <w:rPr>
          <w:rStyle w:val="1190"/>
          <w:rFonts w:hint="eastAsia" w:ascii="Times New Roman" w:hAnsi="Times New Roman" w:eastAsia="宋体" w:cs="Times New Roman"/>
          <w:bCs/>
          <w:color w:val="auto"/>
          <w:sz w:val="24"/>
          <w:szCs w:val="32"/>
          <w:highlight w:val="none"/>
          <w:lang w:val="en-US"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提供查阅记录截图并加盖企业公章）</w:t>
      </w:r>
      <w:r/>
    </w:p>
    <w:p>
      <w:pPr>
        <w:ind w:firstLine="422"/>
        <w:jc w:val="left"/>
        <w:spacing w:line="360" w:lineRule="exact"/>
        <w:rPr>
          <w:rFonts w:hint="eastAsia" w:ascii="宋体" w:hAnsi="宋体" w:eastAsia="宋体" w:cs="宋体"/>
          <w:color w:val="auto"/>
          <w:sz w:val="24"/>
          <w:szCs w:val="32"/>
          <w:highlight w:val="none"/>
        </w:rPr>
      </w:pPr>
      <w:r>
        <w:rPr>
          <w:rFonts w:hint="eastAsia" w:ascii="宋体" w:hAnsi="宋体" w:eastAsia="宋体" w:cs="宋体"/>
          <w:b/>
          <w:color w:val="auto"/>
          <w:sz w:val="24"/>
          <w:szCs w:val="32"/>
          <w:highlight w:val="none"/>
        </w:rPr>
        <w:t xml:space="preserve">2.4 </w:t>
      </w:r>
      <w:r>
        <w:rPr>
          <w:rFonts w:hint="eastAsia" w:ascii="宋体" w:hAnsi="宋体" w:eastAsia="宋体" w:cs="宋体"/>
          <w:b/>
          <w:bCs/>
          <w:color w:val="auto"/>
          <w:sz w:val="24"/>
          <w:szCs w:val="32"/>
          <w:highlight w:val="none"/>
        </w:rPr>
        <w:t xml:space="preserve">本项目</w:t>
      </w:r>
      <w:r>
        <w:rPr>
          <w:rFonts w:hint="eastAsia" w:ascii="宋体" w:hAnsi="宋体" w:eastAsia="宋体" w:cs="宋体"/>
          <w:b/>
          <w:bCs/>
          <w:color w:val="auto"/>
          <w:sz w:val="24"/>
          <w:szCs w:val="32"/>
          <w:highlight w:val="none"/>
          <w:u w:val="single"/>
        </w:rPr>
        <w:t xml:space="preserve">不接受</w:t>
      </w:r>
      <w:r>
        <w:rPr>
          <w:rFonts w:hint="eastAsia" w:ascii="宋体" w:hAnsi="宋体" w:eastAsia="宋体" w:cs="宋体"/>
          <w:b/>
          <w:bCs/>
          <w:color w:val="auto"/>
          <w:sz w:val="24"/>
          <w:szCs w:val="32"/>
          <w:highlight w:val="none"/>
        </w:rPr>
        <w:t xml:space="preserve">进口产品投标。</w:t>
      </w:r>
      <w:r/>
    </w:p>
    <w:p>
      <w:pPr>
        <w:ind w:firstLine="422"/>
        <w:jc w:val="left"/>
        <w:spacing w:line="3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32"/>
          <w:highlight w:val="none"/>
        </w:rPr>
        <w:t xml:space="preserve">2.5 </w:t>
      </w:r>
      <w:r>
        <w:rPr>
          <w:rFonts w:hint="eastAsia" w:ascii="宋体" w:hAnsi="宋体" w:eastAsia="宋体" w:cs="宋体"/>
          <w:b/>
          <w:bCs/>
          <w:color w:val="auto"/>
          <w:sz w:val="24"/>
          <w:szCs w:val="24"/>
          <w:highlight w:val="none"/>
        </w:rPr>
        <w:t xml:space="preserve">落实政府采购政策需满足的资格要求：</w:t>
      </w:r>
      <w:r>
        <w:rPr>
          <w:rFonts w:ascii="SimSun" w:hAnsi="SimSun" w:eastAsia="SimSun" w:cs="SimSun"/>
          <w:color w:val="000000"/>
          <w:sz w:val="24"/>
          <w:szCs w:val="28"/>
        </w:rPr>
        <w:t xml:space="preserve">本项目专门面向中小企业采购，供应商应为中小微企业、监狱企业、残疾人福利性单位</w:t>
      </w:r>
      <w:r>
        <w:rPr>
          <w:rFonts w:hint="eastAsia" w:ascii="宋体" w:hAnsi="宋体" w:eastAsia="宋体" w:cs="宋体"/>
          <w:b w:val="0"/>
          <w:bCs w:val="0"/>
          <w:color w:val="auto"/>
          <w:sz w:val="24"/>
          <w:szCs w:val="24"/>
          <w:highlight w:val="none"/>
        </w:rPr>
        <w:t xml:space="preserve">。</w:t>
      </w:r>
      <w:r/>
    </w:p>
    <w:p>
      <w:pPr>
        <w:ind w:firstLine="482"/>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三、获取采购文件</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时间：</w:t>
      </w:r>
      <w:r>
        <w:rPr>
          <w:rFonts w:hint="eastAsia" w:ascii="宋体" w:hAnsi="宋体" w:eastAsia="宋体" w:cs="宋体"/>
          <w:iCs/>
          <w:color w:val="auto"/>
          <w:sz w:val="24"/>
          <w:szCs w:val="24"/>
          <w:highlight w:val="none"/>
          <w:lang w:val="en-US" w:eastAsia="zh-CN" w:bidi="ar-SA"/>
        </w:rPr>
        <w:t xml:space="preserve">自招标文件公告发布之日起5个工作日</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地点：江苏政府采购网“苏采云”系统</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方式：网上下载</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售价：0.00元</w:t>
      </w:r>
      <w:r/>
    </w:p>
    <w:p>
      <w:pPr>
        <w:ind w:firstLine="482"/>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四、响应文件提交</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截止时间：</w:t>
      </w:r>
      <w:r>
        <w:rPr>
          <w:rFonts w:hint="eastAsia" w:ascii="宋体" w:hAnsi="宋体" w:cs="宋体"/>
          <w:bCs/>
          <w:color w:val="auto"/>
          <w:sz w:val="24"/>
          <w:szCs w:val="24"/>
          <w:highlight w:val="none"/>
          <w:shd w:val="clear" w:color="auto" w:fill="ffffff"/>
          <w:lang w:val="en-US" w:eastAsia="zh-CN" w:bidi="ar"/>
        </w:rPr>
        <w:t xml:space="preserve">2025年12月18日14</w:t>
      </w:r>
      <w:r>
        <w:rPr>
          <w:rFonts w:hint="eastAsia" w:ascii="宋体" w:hAnsi="宋体" w:eastAsia="宋体" w:cs="宋体"/>
          <w:bCs/>
          <w:color w:val="auto"/>
          <w:sz w:val="24"/>
          <w:szCs w:val="24"/>
          <w:highlight w:val="none"/>
          <w:shd w:val="clear" w:color="auto" w:fill="ffffff"/>
          <w:lang w:val="en-US" w:eastAsia="zh-CN" w:bidi="ar"/>
        </w:rPr>
        <w:t xml:space="preserve">:30（北京时间）</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地点：江苏政府采购网“苏采云”系统</w:t>
      </w:r>
      <w:r/>
    </w:p>
    <w:p>
      <w:pPr>
        <w:ind w:firstLine="482"/>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五、开启</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时间：</w:t>
      </w:r>
      <w:r>
        <w:rPr>
          <w:rFonts w:hint="eastAsia" w:ascii="宋体" w:hAnsi="宋体" w:cs="宋体"/>
          <w:bCs/>
          <w:color w:val="auto"/>
          <w:sz w:val="24"/>
          <w:szCs w:val="24"/>
          <w:highlight w:val="none"/>
          <w:shd w:val="clear" w:color="auto" w:fill="ffffff"/>
          <w:lang w:val="en-US" w:eastAsia="zh-CN" w:bidi="ar"/>
        </w:rPr>
        <w:t xml:space="preserve">2025年12月18日14</w:t>
      </w:r>
      <w:r>
        <w:rPr>
          <w:rFonts w:hint="eastAsia" w:ascii="宋体" w:hAnsi="宋体" w:eastAsia="宋体" w:cs="宋体"/>
          <w:bCs/>
          <w:color w:val="auto"/>
          <w:sz w:val="24"/>
          <w:szCs w:val="24"/>
          <w:highlight w:val="none"/>
          <w:shd w:val="clear" w:color="auto" w:fill="ffffff"/>
          <w:lang w:val="en-US" w:eastAsia="zh-CN" w:bidi="ar"/>
        </w:rPr>
        <w:t xml:space="preserve">:30（北京时间）</w:t>
      </w:r>
      <w:r/>
    </w:p>
    <w:p>
      <w:pPr>
        <w:ind w:firstLine="480"/>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Cs/>
          <w:color w:val="auto"/>
          <w:sz w:val="24"/>
          <w:szCs w:val="24"/>
          <w:highlight w:val="none"/>
          <w:shd w:val="clear" w:color="auto" w:fill="ffffff"/>
          <w:lang w:val="en-US" w:eastAsia="zh-CN" w:bidi="ar"/>
        </w:rPr>
        <w:t xml:space="preserve">地点：南京市高淳区丹阳湖北路56号30栋605开标室</w:t>
      </w:r>
      <w:r/>
    </w:p>
    <w:p>
      <w:pPr>
        <w:ind w:firstLine="482"/>
        <w:jc w:val="left"/>
        <w:spacing w:before="75" w:line="280" w:lineRule="exact"/>
        <w:shd w:val="clear" w:color="auto" w:fill="ffffff"/>
        <w:widowControl/>
        <w:rPr>
          <w:rFonts w:hint="eastAsia" w:ascii="宋体" w:hAnsi="宋体" w:eastAsia="宋体" w:cs="宋体"/>
          <w:bCs/>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六、公告期限</w:t>
      </w:r>
      <w:r/>
    </w:p>
    <w:p>
      <w:pPr>
        <w:ind w:firstLine="480"/>
        <w:jc w:val="left"/>
        <w:spacing w:before="75" w:line="280" w:lineRule="exact"/>
        <w:shd w:val="clear" w:color="auto" w:fill="ffffff"/>
        <w:widowControl/>
        <w:rPr>
          <w:rFonts w:hint="eastAsia" w:ascii="宋体" w:hAnsi="宋体" w:eastAsia="宋体" w:cs="宋体"/>
          <w:color w:val="auto"/>
          <w:sz w:val="21"/>
          <w:szCs w:val="24"/>
          <w:highlight w:val="none"/>
        </w:rPr>
      </w:pPr>
      <w:r>
        <w:rPr>
          <w:rFonts w:hint="eastAsia" w:ascii="宋体" w:hAnsi="宋体" w:eastAsia="宋体" w:cs="宋体"/>
          <w:bCs/>
          <w:color w:val="auto"/>
          <w:sz w:val="24"/>
          <w:szCs w:val="24"/>
          <w:highlight w:val="none"/>
          <w:shd w:val="clear" w:color="auto" w:fill="ffffff"/>
          <w:lang w:val="en-US" w:eastAsia="zh-CN" w:bidi="ar"/>
        </w:rPr>
        <w:t xml:space="preserve">自本公告发布之日起5个工作日。</w:t>
      </w:r>
      <w:r/>
    </w:p>
    <w:p>
      <w:pPr>
        <w:ind w:firstLine="422"/>
        <w:jc w:val="left"/>
        <w:spacing w:line="360" w:lineRule="exact"/>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 xml:space="preserve">七</w:t>
      </w:r>
      <w:r>
        <w:rPr>
          <w:rFonts w:hint="eastAsia" w:ascii="宋体" w:hAnsi="宋体" w:eastAsia="宋体" w:cs="宋体"/>
          <w:b/>
          <w:color w:val="auto"/>
          <w:sz w:val="24"/>
          <w:szCs w:val="32"/>
          <w:highlight w:val="none"/>
        </w:rPr>
        <w:t xml:space="preserve">、其他补充事宜</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1.全程电子化招标</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（1）本次采购采用“苏采云”政府采购交易系统，招标、投标、评标和中标结果发布全程电子化，开标方式为不见面开标。</w:t>
        <w:br/>
        <w:t xml:space="preserve">   （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w:t>
      </w:r>
      <w:r>
        <w:rPr>
          <w:rFonts w:ascii="SimSun" w:hAnsi="SimSun" w:eastAsia="SimSun" w:cs="SimSun"/>
          <w:color w:val="000000"/>
          <w:sz w:val="24"/>
        </w:rPr>
        <w:t xml:space="preserve">230633ce9.html）进行注册，并制作上传电子投标文件。如供应商未按要求操作，由此所产生的风险由供应商自行承担。</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（4）有关本次招标的事项若存在变动或修改，请及时关注“南京公共采购信息网”（https://njgc.jfh.com/）“江苏政府采购网”（www.ccgp-jiangsu.gov.cn）更正公告。</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（5）远程不见面开标大厅系统问题可咨询“苏采云”系统客服热线（“苏采云”南京地区客服热线025-83633744、025-83633743）、（政务CA技术咨询服务电话400-608-6099）。</w:t>
      </w:r>
      <w:r/>
    </w:p>
    <w:p>
      <w:pPr>
        <w:ind w:firstLine="420"/>
        <w:jc w:val="left"/>
        <w:spacing w:line="360" w:lineRule="exact"/>
        <w:rPr>
          <w:rFonts w:hint="eastAsia" w:ascii="宋体" w:hAnsi="宋体" w:eastAsia="宋体" w:cs="宋体"/>
          <w:color w:val="auto"/>
          <w:sz w:val="24"/>
          <w:szCs w:val="32"/>
          <w:highlight w:val="none"/>
        </w:rPr>
      </w:pPr>
      <w:r>
        <w:rPr>
          <w:rFonts w:ascii="SimSun" w:hAnsi="SimSun" w:eastAsia="SimSun" w:cs="SimSun"/>
          <w:color w:val="000000"/>
          <w:sz w:val="24"/>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r>
        <w:rPr>
          <w:rFonts w:hint="eastAsia" w:ascii="宋体" w:hAnsi="宋体" w:eastAsia="宋体" w:cs="宋体"/>
          <w:color w:val="auto"/>
          <w:sz w:val="24"/>
          <w:szCs w:val="32"/>
          <w:highlight w:val="none"/>
        </w:rPr>
        <w:t xml:space="preserve">。</w:t>
      </w:r>
      <w:r/>
    </w:p>
    <w:p>
      <w:pPr>
        <w:ind w:firstLine="422"/>
        <w:jc w:val="left"/>
        <w:spacing w:line="360" w:lineRule="exact"/>
        <w:rPr>
          <w:rFonts w:hint="eastAsia" w:ascii="宋体" w:hAnsi="宋体" w:eastAsia="宋体" w:cs="宋体"/>
          <w:b/>
          <w:color w:val="auto"/>
          <w:sz w:val="24"/>
          <w:szCs w:val="32"/>
          <w:highlight w:val="none"/>
        </w:rPr>
      </w:pPr>
      <w:r>
        <w:rPr>
          <w:rFonts w:hint="eastAsia" w:ascii="宋体" w:hAnsi="宋体" w:cs="宋体"/>
          <w:b/>
          <w:color w:val="auto"/>
          <w:sz w:val="24"/>
          <w:szCs w:val="32"/>
          <w:highlight w:val="none"/>
          <w:lang w:val="en-US" w:eastAsia="zh-CN"/>
        </w:rPr>
        <w:t xml:space="preserve">八</w:t>
      </w:r>
      <w:r>
        <w:rPr>
          <w:rFonts w:hint="eastAsia" w:ascii="宋体" w:hAnsi="宋体" w:eastAsia="宋体" w:cs="宋体"/>
          <w:b/>
          <w:color w:val="auto"/>
          <w:sz w:val="24"/>
          <w:szCs w:val="32"/>
          <w:highlight w:val="none"/>
        </w:rPr>
        <w:t xml:space="preserve">、对本次招标提出询问，请按以下方式联系。 </w:t>
      </w:r>
      <w:r/>
    </w:p>
    <w:p>
      <w:pPr>
        <w:ind w:firstLine="420"/>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1.采购人信息</w:t>
      </w:r>
      <w:r/>
    </w:p>
    <w:p>
      <w:pPr>
        <w:ind w:firstLine="420"/>
        <w:jc w:val="left"/>
        <w:spacing w:line="36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南京市公安局高淳分局</w:t>
      </w:r>
      <w:r/>
    </w:p>
    <w:p>
      <w:pPr>
        <w:ind w:firstLine="420"/>
        <w:jc w:val="left"/>
        <w:spacing w:line="36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采购单位地址：</w:t>
      </w:r>
      <w:r>
        <w:rPr>
          <w:rFonts w:hint="eastAsia" w:ascii="宋体" w:hAnsi="宋体" w:cs="宋体"/>
          <w:color w:val="auto"/>
          <w:sz w:val="24"/>
          <w:szCs w:val="32"/>
          <w:highlight w:val="none"/>
          <w:lang w:eastAsia="zh-CN"/>
        </w:rPr>
        <w:t xml:space="preserve">南京市高淳区淳溪</w:t>
      </w:r>
      <w:r>
        <w:rPr>
          <w:rFonts w:hint="eastAsia" w:ascii="宋体" w:hAnsi="宋体" w:cs="宋体"/>
          <w:color w:val="auto"/>
          <w:sz w:val="24"/>
          <w:szCs w:val="32"/>
          <w:highlight w:val="none"/>
          <w:lang w:val="en-US" w:eastAsia="zh-CN"/>
        </w:rPr>
        <w:t xml:space="preserve">街道</w:t>
      </w:r>
      <w:r>
        <w:rPr>
          <w:rFonts w:hint="eastAsia" w:ascii="宋体" w:hAnsi="宋体" w:cs="宋体"/>
          <w:color w:val="auto"/>
          <w:sz w:val="24"/>
          <w:szCs w:val="32"/>
          <w:highlight w:val="none"/>
          <w:lang w:eastAsia="zh-CN"/>
        </w:rPr>
        <w:t xml:space="preserve">镇兴路150号</w:t>
      </w:r>
      <w:r/>
    </w:p>
    <w:p>
      <w:pPr>
        <w:ind w:firstLine="420"/>
        <w:jc w:val="left"/>
        <w:spacing w:line="360" w:lineRule="exact"/>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耿雷</w:t>
      </w:r>
      <w:r>
        <w:rPr>
          <w:rFonts w:hint="eastAsia" w:ascii="宋体" w:hAnsi="宋体" w:cs="宋体"/>
          <w:color w:val="auto"/>
          <w:sz w:val="24"/>
          <w:szCs w:val="32"/>
          <w:highlight w:val="none"/>
          <w:lang w:val="en-US" w:eastAsia="zh-CN"/>
        </w:rPr>
        <w:t xml:space="preserve">  025-57347898</w:t>
      </w:r>
      <w:r/>
    </w:p>
    <w:p>
      <w:pPr>
        <w:ind w:firstLine="420"/>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420"/>
        <w:jc w:val="left"/>
        <w:spacing w:line="360" w:lineRule="exact"/>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采购代理机构：</w:t>
      </w:r>
      <w:r>
        <w:rPr>
          <w:rFonts w:hint="eastAsia" w:ascii="宋体" w:hAnsi="宋体" w:cs="宋体"/>
          <w:color w:val="auto"/>
          <w:sz w:val="24"/>
          <w:szCs w:val="32"/>
          <w:highlight w:val="none"/>
          <w:lang w:eastAsia="zh-CN"/>
        </w:rPr>
        <w:t xml:space="preserve">南京宁咨工程咨询有限公司</w:t>
      </w:r>
      <w:r/>
    </w:p>
    <w:p>
      <w:pPr>
        <w:ind w:firstLine="420"/>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地址：</w:t>
      </w:r>
      <w:r>
        <w:rPr>
          <w:rFonts w:hint="eastAsia" w:ascii="宋体" w:hAnsi="宋体" w:cs="宋体"/>
          <w:color w:val="auto"/>
          <w:sz w:val="24"/>
          <w:szCs w:val="32"/>
          <w:highlight w:val="none"/>
          <w:lang w:eastAsia="zh-CN"/>
        </w:rPr>
        <w:t xml:space="preserve">南京市高淳区丹阳湖北路56号30栋605</w:t>
      </w:r>
      <w:r/>
    </w:p>
    <w:p>
      <w:pPr>
        <w:ind w:firstLine="420"/>
        <w:jc w:val="left"/>
        <w:spacing w:line="36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ind w:firstLine="420"/>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420"/>
        <w:jc w:val="left"/>
        <w:spacing w:line="360" w:lineRule="exac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w:t>
      </w:r>
      <w:r>
        <w:rPr>
          <w:rFonts w:hint="eastAsia" w:ascii="宋体" w:hAnsi="宋体" w:cs="宋体"/>
          <w:color w:val="auto"/>
          <w:sz w:val="24"/>
          <w:szCs w:val="32"/>
          <w:highlight w:val="none"/>
          <w:lang w:val="en-US" w:eastAsia="zh-CN"/>
        </w:rPr>
        <w:t xml:space="preserve">孔</w:t>
      </w:r>
      <w:r>
        <w:rPr>
          <w:rFonts w:hint="eastAsia" w:ascii="宋体" w:hAnsi="宋体" w:eastAsia="宋体" w:cs="宋体"/>
          <w:color w:val="auto"/>
          <w:sz w:val="24"/>
          <w:szCs w:val="32"/>
          <w:highlight w:val="none"/>
        </w:rPr>
        <w:t xml:space="preserve">工</w:t>
      </w:r>
      <w:r/>
    </w:p>
    <w:p>
      <w:pPr>
        <w:ind w:firstLine="420"/>
        <w:jc w:val="left"/>
        <w:spacing w:line="360" w:lineRule="exact"/>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cs="宋体"/>
          <w:color w:val="auto"/>
          <w:sz w:val="24"/>
          <w:szCs w:val="32"/>
          <w:highlight w:val="none"/>
          <w:lang w:val="en-US" w:eastAsia="zh-CN"/>
        </w:rPr>
        <w:t xml:space="preserve">13905196067</w:t>
      </w:r>
      <w:r/>
    </w:p>
    <w:p>
      <w:pPr>
        <w:ind w:firstLine="600"/>
        <w:jc w:val="right"/>
        <w:spacing w:line="4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56"/>
        <w:rPr>
          <w:rFonts w:hint="eastAsia" w:ascii="宋体" w:hAnsi="宋体" w:eastAsia="宋体" w:cs="宋体"/>
          <w:bCs/>
          <w:color w:val="auto"/>
          <w:position w:val="0"/>
          <w:sz w:val="21"/>
          <w:szCs w:val="24"/>
          <w:highlight w:val="none"/>
        </w:rPr>
      </w:pPr>
      <w:r>
        <w:rPr>
          <w:rFonts w:hint="eastAsia" w:ascii="宋体" w:hAnsi="宋体" w:eastAsia="宋体" w:cs="宋体"/>
          <w:bCs/>
          <w:color w:val="auto"/>
          <w:position w:val="0"/>
          <w:sz w:val="21"/>
          <w:szCs w:val="24"/>
          <w:highlight w:val="none"/>
        </w:rPr>
      </w:r>
      <w:r/>
    </w:p>
    <w:p>
      <w:pPr>
        <w:ind w:firstLine="491"/>
        <w:jc w:val="center"/>
        <w:spacing w:line="420" w:lineRule="exact"/>
        <w:rPr>
          <w:rFonts w:hint="eastAsia" w:ascii="宋体" w:hAnsi="宋体" w:eastAsia="宋体" w:cs="宋体"/>
          <w:color w:val="auto"/>
          <w:sz w:val="36"/>
          <w:szCs w:val="36"/>
          <w:highlight w:val="none"/>
        </w:rPr>
        <w:outlineLvl w:val="0"/>
      </w:pPr>
      <w:r>
        <w:rPr>
          <w:rFonts w:hint="eastAsia" w:ascii="宋体" w:hAnsi="宋体" w:eastAsia="宋体" w:cs="宋体"/>
          <w:b/>
          <w:color w:val="auto"/>
          <w:highlight w:val="none"/>
          <w:lang w:val="zh-CN"/>
        </w:rPr>
        <w:br w:type="page" w:clear="all"/>
      </w:r>
      <w:bookmarkStart w:id="34" w:name="_Toc28386"/>
      <w:r/>
      <w:bookmarkStart w:id="35" w:name="_Toc27836"/>
      <w:r/>
      <w:bookmarkStart w:id="36" w:name="_Toc6141"/>
      <w:r/>
      <w:bookmarkStart w:id="37" w:name="_Toc22025"/>
      <w:r/>
      <w:bookmarkStart w:id="38" w:name="_Toc21822"/>
      <w:r/>
      <w:bookmarkStart w:id="39" w:name="_Toc24110"/>
      <w:r/>
      <w:bookmarkStart w:id="40" w:name="_Toc31338"/>
      <w:r/>
      <w:bookmarkStart w:id="41" w:name="_Toc4108"/>
      <w:r/>
      <w:bookmarkStart w:id="42" w:name="_Toc20699"/>
      <w:r/>
      <w:bookmarkStart w:id="43" w:name="_Toc116284541"/>
      <w:r/>
      <w:bookmarkStart w:id="44" w:name="_Toc2628"/>
      <w:r/>
      <w:bookmarkStart w:id="45" w:name="_Toc11534"/>
      <w:r/>
      <w:bookmarkStart w:id="46" w:name="_Toc9569"/>
      <w:r/>
      <w:bookmarkStart w:id="47" w:name="_Toc1855"/>
      <w:r/>
      <w:bookmarkStart w:id="48" w:name="_Toc18283"/>
      <w:r/>
      <w:bookmarkStart w:id="49" w:name="_Toc27827"/>
      <w:r/>
      <w:bookmarkStart w:id="50" w:name="_Toc29963"/>
      <w:r/>
      <w:bookmarkStart w:id="51" w:name="_Toc473"/>
      <w:r/>
      <w:bookmarkStart w:id="52" w:name="_Toc7921"/>
      <w:r/>
      <w:bookmarkStart w:id="53" w:name="_Toc3037"/>
      <w:r/>
      <w:bookmarkStart w:id="54" w:name="_Toc16849"/>
      <w:r/>
      <w:bookmarkStart w:id="55" w:name="_Toc12162"/>
      <w:r/>
      <w:bookmarkStart w:id="56" w:name="_Toc17692"/>
      <w:r/>
      <w:bookmarkStart w:id="57" w:name="_Toc22872"/>
      <w:r/>
      <w:bookmarkStart w:id="58" w:name="_Toc6889"/>
      <w:r/>
      <w:bookmarkStart w:id="59" w:name="_Toc13126"/>
      <w:r/>
      <w:bookmarkStart w:id="60" w:name="_Toc19714"/>
      <w:r/>
      <w:bookmarkStart w:id="61" w:name="_Toc11944"/>
      <w:r/>
      <w:bookmarkStart w:id="62" w:name="_Toc153441891"/>
      <w:r/>
      <w:bookmarkStart w:id="63" w:name="_Toc14038"/>
      <w:r/>
      <w:bookmarkStart w:id="64" w:name="_Toc22607"/>
      <w:r>
        <w:rPr>
          <w:rFonts w:hint="eastAsia" w:ascii="宋体" w:hAnsi="宋体" w:eastAsia="宋体" w:cs="宋体"/>
          <w:b/>
          <w:color w:val="auto"/>
          <w:sz w:val="36"/>
          <w:szCs w:val="36"/>
          <w:highlight w:val="none"/>
          <w:lang w:val="zh-CN"/>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一、总 则</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1、适用法律</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2、定义</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2.1“采购人”是指依法进行政府采购的国家机关、事业单位、团体组织。</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2.2“投标人（供应商）”是指参加投标竞争，并符合招标文件规定资格条件的法人、其他组织或者自然人。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2.4“货物和服务”指本招标文件中所述</w:t>
      </w:r>
      <w:r>
        <w:rPr>
          <w:rFonts w:hint="eastAsia" w:ascii="宋体" w:hAnsi="宋体" w:cs="宋体"/>
          <w:bCs/>
          <w:color w:val="auto"/>
          <w:sz w:val="24"/>
          <w:szCs w:val="24"/>
          <w:highlight w:val="none"/>
          <w:lang w:val="en-US" w:eastAsia="zh-CN" w:bidi="ar-SA"/>
        </w:rPr>
        <w:t xml:space="preserve">产品</w:t>
      </w:r>
      <w:r>
        <w:rPr>
          <w:rFonts w:hint="eastAsia" w:ascii="宋体" w:hAnsi="宋体" w:cs="宋体"/>
          <w:color w:val="auto"/>
          <w:sz w:val="24"/>
          <w:szCs w:val="24"/>
          <w:highlight w:val="none"/>
          <w:lang w:val="en-US" w:eastAsia="zh-CN" w:bidi="ar-SA"/>
        </w:rPr>
        <w:t xml:space="preserve">及相关服务。</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2.5“用户或使用单位”是指使用货物，接受服务的单位。</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3、政策功能</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3.6进口产品政策</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（2）允许进口产品参加的，满足需求的国内产品可以参加。</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3.7未按要求提供相关材料的，不享受相关政策。</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二、招标文件构成</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4、招标文件组成</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招标文件包括以下主要内容：</w:t>
      </w:r>
      <w:r/>
    </w:p>
    <w:p>
      <w:pPr>
        <w:numPr>
          <w:ilvl w:val="0"/>
          <w:numId w:val="2"/>
        </w:num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招标公告；</w:t>
      </w:r>
      <w:r/>
    </w:p>
    <w:p>
      <w:pPr>
        <w:numPr>
          <w:ilvl w:val="0"/>
          <w:numId w:val="2"/>
        </w:num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投标人须知；</w:t>
      </w:r>
      <w:r/>
    </w:p>
    <w:p>
      <w:pPr>
        <w:numPr>
          <w:ilvl w:val="0"/>
          <w:numId w:val="2"/>
        </w:num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评标标准；</w:t>
      </w:r>
      <w:r/>
    </w:p>
    <w:p>
      <w:pPr>
        <w:numPr>
          <w:ilvl w:val="0"/>
          <w:numId w:val="2"/>
        </w:num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采购需求；</w:t>
      </w:r>
      <w:r/>
    </w:p>
    <w:p>
      <w:pPr>
        <w:numPr>
          <w:ilvl w:val="0"/>
          <w:numId w:val="2"/>
        </w:num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合同主要条款及格式；</w:t>
      </w:r>
      <w:r/>
    </w:p>
    <w:p>
      <w:pPr>
        <w:numPr>
          <w:ilvl w:val="0"/>
          <w:numId w:val="2"/>
        </w:num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投标文件格式及附件。</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如标书制作工具中格式和内容与“江苏政府采购网”发布的招标文件不一致的，以上述网站发布的招标文件为准。</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4.4招标文件中要求的产品品牌或型号，是采购人根据项目所要实现的功能推荐的品牌或型号，仅供投标人参考，并不是限制条件。</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5、招标文件的澄清或者修改</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三、投标文件的编制</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6、投标文件的语言、计量单位、货币和编制</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6.2投标人所使用的计量单位应为国家法定计量单位。</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cs="宋体"/>
          <w:b w:val="0"/>
          <w:bCs w:val="0"/>
          <w:color w:val="auto"/>
          <w:sz w:val="24"/>
          <w:szCs w:val="24"/>
          <w:highlight w:val="none"/>
          <w:lang w:val="en-US" w:eastAsia="zh-CN" w:bidi="ar-SA"/>
        </w:rPr>
        <w:t xml:space="preserve">3投标人应用人民币报价。投标产品如果是进口产品的，应提供人民币与外币之间的汇率。</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6.4 投标文件应按照招标文件的规定编写并制作目录。</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6.5投标人应在投标文件中写清相应的项目编号、项目名称、投标人全称、地址、电话、传真等。</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6.6</w:t>
      </w:r>
      <w:r>
        <w:rPr>
          <w:rFonts w:hint="eastAsia" w:ascii="宋体" w:hAnsi="宋体" w:cs="宋体"/>
          <w:color w:val="auto"/>
          <w:sz w:val="24"/>
          <w:szCs w:val="24"/>
          <w:highlight w:val="none"/>
          <w:lang w:val="en-US" w:eastAsia="zh-CN" w:bidi="ar-SA"/>
        </w:rPr>
        <w:t xml:space="preserve">投标人根据招标文件载明的标的采购项目实际情况，拟在中标后将中标项目的非主体、非关键性工作交由他人完成的，应当在投标文件中载明。</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7、联合体投标（本项目无）</w:t>
      </w:r>
      <w:r/>
    </w:p>
    <w:p>
      <w:pPr>
        <w:ind w:firstLine="420"/>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7.1 两个以上的自然人、法人或者其他组织可以组成一个联合体，以一个投标人的身份共同参加政府采购。</w:t>
      </w:r>
      <w:r/>
    </w:p>
    <w:p>
      <w:pPr>
        <w:ind w:firstLine="420"/>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7.3 联合体各方之间应当签订联合体协议，明确约定联合体各方承担的工作和相应的责任，并将联合体协议连同投标文件一同提交。</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7.4 以联合体形式参加政府采购活动的，联合体各方不得再单独参加或者与其他投标人另外组成联合体参加同一合同项下的政府采购活动。</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8、投标文件的组成</w:t>
      </w:r>
      <w:r/>
    </w:p>
    <w:p>
      <w:pPr>
        <w:ind w:firstLine="420"/>
        <w:jc w:val="left"/>
        <w:spacing w:line="360" w:lineRule="auto"/>
        <w:shd w:val="clear" w:color="auto" w:fill="ffffff"/>
        <w:widowControl w:val="off"/>
        <w:rPr>
          <w:rFonts w:hint="eastAsia" w:ascii="宋体" w:hAnsi="宋体" w:cs="宋体"/>
          <w:b/>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8.1投标人编写的投标文件应包括资格证明文件、符合性证明文件、投标分项报价表、响应及偏离表、其他证明文件、投标函、开标一览表等部分</w:t>
      </w:r>
      <w:r>
        <w:rPr>
          <w:rFonts w:hint="eastAsia" w:ascii="宋体" w:hAnsi="宋体" w:cs="宋体"/>
          <w:b/>
          <w:bCs/>
          <w:color w:val="auto"/>
          <w:sz w:val="24"/>
          <w:szCs w:val="24"/>
          <w:highlight w:val="none"/>
          <w:lang w:val="en-US" w:eastAsia="zh-CN" w:bidi="ar-SA"/>
        </w:rPr>
        <w:t xml:space="preserve">。</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8.2 如标书制作工具中格式和内容与“江苏政府采购网”发布的招标文件不一致，以“江苏政府采购网”发布的招标文件为准。</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9、投标文件的商务内容</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 w:val="24"/>
          <w:szCs w:val="24"/>
          <w:highlight w:val="none"/>
          <w:lang w:val="en-US" w:eastAsia="zh-CN" w:bidi="ar-SA"/>
        </w:rPr>
        <w:t xml:space="preserve">“</w:t>
      </w:r>
      <w:r>
        <w:rPr>
          <w:rFonts w:hint="eastAsia" w:ascii="宋体" w:hAnsi="宋体" w:cs="宋体"/>
          <w:b/>
          <w:bCs/>
          <w:color w:val="auto"/>
          <w:sz w:val="24"/>
          <w:szCs w:val="32"/>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”所述材料不得有缺失或提供不全或不满足招标文件的实质性要求</w:t>
      </w:r>
      <w:r>
        <w:rPr>
          <w:rFonts w:hint="eastAsia" w:ascii="宋体" w:hAnsi="宋体" w:cs="宋体"/>
          <w:color w:val="auto"/>
          <w:sz w:val="24"/>
          <w:szCs w:val="24"/>
          <w:highlight w:val="none"/>
          <w:lang w:val="en-US" w:eastAsia="zh-CN" w:bidi="ar-SA"/>
        </w:rPr>
        <w:t xml:space="preserve">）：</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cs="宋体"/>
          <w:b/>
          <w:bCs/>
          <w:color w:val="auto"/>
          <w:sz w:val="24"/>
          <w:szCs w:val="32"/>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投标函（投标申请及声明）</w:t>
      </w:r>
      <w:r>
        <w:rPr>
          <w:rFonts w:hint="eastAsia" w:ascii="宋体" w:hAnsi="宋体" w:cs="宋体"/>
          <w:bCs/>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cs="宋体"/>
          <w:b/>
          <w:bCs/>
          <w:color w:val="auto"/>
          <w:sz w:val="24"/>
          <w:szCs w:val="32"/>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法人授权书</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cs="宋体"/>
          <w:b/>
          <w:bCs/>
          <w:color w:val="auto"/>
          <w:sz w:val="24"/>
          <w:szCs w:val="32"/>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投标人资格资信证明文件：</w:t>
      </w:r>
      <w:r/>
    </w:p>
    <w:p>
      <w:pPr>
        <w:numPr>
          <w:ilvl w:val="1"/>
          <w:numId w:val="3"/>
        </w:numPr>
        <w:ind w:left="0" w:firstLine="420"/>
        <w:spacing w:line="360" w:lineRule="auto"/>
        <w:widowControl w:val="off"/>
        <w:tabs>
          <w:tab w:val="left" w:pos="840" w:leader="none"/>
        </w:tabs>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第一章招标公告中 2.1《中华人民共和国政府采购法》规定的资格条件证明文件；</w:t>
      </w:r>
      <w:r/>
    </w:p>
    <w:p>
      <w:pPr>
        <w:numPr>
          <w:ilvl w:val="1"/>
          <w:numId w:val="3"/>
        </w:numPr>
        <w:ind w:left="0" w:firstLine="420"/>
        <w:spacing w:line="360" w:lineRule="auto"/>
        <w:widowControl w:val="off"/>
        <w:tabs>
          <w:tab w:val="left" w:pos="840" w:leader="none"/>
        </w:tabs>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第一章招标公告中 2.2 采购人根据采购项目的特殊要求规定的特定条件证明文件。</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cs="宋体"/>
          <w:b/>
          <w:bCs/>
          <w:color w:val="auto"/>
          <w:sz w:val="24"/>
          <w:szCs w:val="32"/>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开标一览表及分项报价表</w:t>
      </w:r>
      <w:r>
        <w:rPr>
          <w:rFonts w:hint="eastAsia" w:ascii="宋体" w:hAnsi="宋体" w:cs="宋体"/>
          <w:bCs/>
          <w:color w:val="auto"/>
          <w:sz w:val="24"/>
          <w:szCs w:val="24"/>
          <w:highlight w:val="none"/>
          <w:lang w:val="en-US" w:eastAsia="zh-CN" w:bidi="ar-SA"/>
        </w:rPr>
        <w:t xml:space="preserve"> ；</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cs="宋体"/>
          <w:b/>
          <w:bCs/>
          <w:color w:val="auto"/>
          <w:sz w:val="24"/>
          <w:szCs w:val="32"/>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《南京市政府采购供应商信用记录表暨信用承诺书》</w:t>
      </w:r>
      <w:r>
        <w:rPr>
          <w:rFonts w:hint="eastAsia" w:ascii="宋体" w:hAnsi="宋体" w:cs="宋体"/>
          <w:b/>
          <w:color w:val="auto"/>
          <w:sz w:val="24"/>
          <w:szCs w:val="24"/>
          <w:highlight w:val="none"/>
          <w:lang w:val="zh-CN" w:eastAsia="zh-CN" w:bidi="ar-SA"/>
        </w:rPr>
        <w:t xml:space="preserve">；</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（6）《商务条款偏离表》；</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（7）第三章评标标准中对应的所需证明材料（如有自行添加）；</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（8）其他（投标人认为有必要提供的声明和文件，如有，自行拟定并添加）。</w:t>
      </w:r>
      <w:r/>
    </w:p>
    <w:p>
      <w:pPr>
        <w:ind w:firstLine="422"/>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10、投标文件的技术内容</w:t>
      </w:r>
      <w:r/>
    </w:p>
    <w:p>
      <w:pPr>
        <w:ind w:firstLine="420"/>
        <w:jc w:val="left"/>
        <w:spacing w:line="360" w:lineRule="auto"/>
        <w:widowControl w:val="off"/>
        <w:rPr>
          <w:rFonts w:hint="eastAsia" w:ascii="宋体" w:hAnsi="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技术部分</w:t>
      </w:r>
      <w:r>
        <w:rPr>
          <w:rFonts w:hint="eastAsia" w:ascii="宋体" w:hAnsi="宋体" w:cs="宋体"/>
          <w:color w:val="auto"/>
          <w:sz w:val="24"/>
          <w:szCs w:val="24"/>
          <w:highlight w:val="none"/>
          <w:lang w:val="en-US" w:eastAsia="zh-CN" w:bidi="ar-SA"/>
        </w:rPr>
        <w:t xml:space="preserve">内容</w:t>
      </w:r>
      <w:r>
        <w:rPr>
          <w:rFonts w:hint="eastAsia" w:ascii="宋体" w:hAnsi="宋体" w:cs="宋体"/>
          <w:color w:val="auto"/>
          <w:sz w:val="24"/>
          <w:szCs w:val="24"/>
          <w:highlight w:val="none"/>
          <w:lang w:val="zh-CN" w:eastAsia="zh-CN" w:bidi="ar-SA"/>
        </w:rPr>
        <w:t xml:space="preserve">是证明</w:t>
      </w:r>
      <w:r>
        <w:rPr>
          <w:rFonts w:hint="eastAsia" w:ascii="宋体" w:hAnsi="宋体" w:cs="宋体"/>
          <w:color w:val="auto"/>
          <w:sz w:val="24"/>
          <w:szCs w:val="24"/>
          <w:highlight w:val="none"/>
          <w:lang w:val="en-US" w:eastAsia="zh-CN" w:bidi="ar-SA"/>
        </w:rPr>
        <w:t xml:space="preserve">投标人提供的货物和服务是合格的、并符合招标文件要求的证明文件，以及</w:t>
      </w:r>
      <w:r>
        <w:rPr>
          <w:rFonts w:hint="eastAsia" w:ascii="宋体" w:hAnsi="宋体" w:cs="宋体"/>
          <w:color w:val="auto"/>
          <w:sz w:val="24"/>
          <w:szCs w:val="24"/>
          <w:highlight w:val="none"/>
          <w:lang w:val="zh-CN" w:eastAsia="zh-CN" w:bidi="ar-SA"/>
        </w:rPr>
        <w:t xml:space="preserve">对货物和服务的详细说明，这些文件可以是文字资料、图纸、数据</w:t>
      </w:r>
      <w:r>
        <w:rPr>
          <w:rFonts w:hint="eastAsia" w:ascii="宋体" w:hAnsi="宋体" w:cs="宋体"/>
          <w:color w:val="auto"/>
          <w:sz w:val="24"/>
          <w:szCs w:val="24"/>
          <w:highlight w:val="none"/>
          <w:lang w:val="en-US" w:eastAsia="zh-CN" w:bidi="ar-SA"/>
        </w:rPr>
        <w:t xml:space="preserve">或其他证明文件</w:t>
      </w:r>
      <w:r>
        <w:rPr>
          <w:rFonts w:hint="eastAsia" w:ascii="宋体" w:hAnsi="宋体" w:cs="宋体"/>
          <w:color w:val="auto"/>
          <w:sz w:val="24"/>
          <w:szCs w:val="24"/>
          <w:highlight w:val="none"/>
          <w:lang w:val="zh-CN" w:eastAsia="zh-CN" w:bidi="ar-SA"/>
        </w:rPr>
        <w:t xml:space="preserve">等。提供的货物和服务如与招标文件要求有不符之处，应说明其差别之所在。包括但不限于下列文件：</w:t>
      </w:r>
      <w:r/>
    </w:p>
    <w:p>
      <w:pPr>
        <w:ind w:firstLine="420"/>
        <w:jc w:val="left"/>
        <w:spacing w:line="360" w:lineRule="auto"/>
        <w:widowControl w:val="off"/>
        <w:rPr>
          <w:rFonts w:hint="eastAsia" w:ascii="宋体" w:hAnsi="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（1）技术说明或服务方案；</w:t>
      </w:r>
      <w:r/>
    </w:p>
    <w:p>
      <w:pPr>
        <w:ind w:firstLine="420"/>
        <w:jc w:val="left"/>
        <w:spacing w:line="360" w:lineRule="auto"/>
        <w:widowControl w:val="off"/>
        <w:rPr>
          <w:rFonts w:hint="eastAsia" w:ascii="宋体" w:hAnsi="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（2）服务承诺；</w:t>
      </w:r>
      <w:r/>
    </w:p>
    <w:p>
      <w:pPr>
        <w:ind w:firstLine="420"/>
        <w:jc w:val="left"/>
        <w:spacing w:line="360" w:lineRule="auto"/>
        <w:widowControl w:val="off"/>
        <w:rPr>
          <w:rFonts w:hint="eastAsia" w:ascii="宋体" w:hAnsi="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zh-CN" w:eastAsia="zh-CN" w:bidi="ar-SA"/>
        </w:rPr>
        <w:t xml:space="preserve">）投标人认为需要提供的其他技术资料。</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11、投标文件的价格内容</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11.2报价应包含为履行本项目合同项下所有义务的全部含税费用</w:t>
      </w:r>
      <w:r>
        <w:rPr>
          <w:rFonts w:hint="eastAsia" w:ascii="宋体" w:hAnsi="宋体" w:cs="宋体"/>
          <w:color w:val="auto"/>
          <w:sz w:val="24"/>
          <w:szCs w:val="24"/>
          <w:highlight w:val="none"/>
          <w:lang w:val="zh-CN" w:eastAsia="zh-CN" w:bidi="ar-SA"/>
        </w:rPr>
        <w:t xml:space="preserve">，</w:t>
      </w:r>
      <w:r>
        <w:rPr>
          <w:rFonts w:hint="eastAsia" w:ascii="宋体" w:hAnsi="宋体" w:cs="宋体"/>
          <w:bCs/>
          <w:color w:val="auto"/>
          <w:sz w:val="24"/>
          <w:szCs w:val="24"/>
          <w:highlight w:val="none"/>
          <w:lang w:val="en-US" w:eastAsia="zh-CN" w:bidi="ar-SA"/>
        </w:rPr>
        <w:t xml:space="preserve">以</w:t>
      </w:r>
      <w:r>
        <w:rPr>
          <w:rFonts w:hint="eastAsia" w:ascii="宋体" w:hAnsi="宋体" w:cs="宋体"/>
          <w:color w:val="auto"/>
          <w:sz w:val="24"/>
          <w:szCs w:val="24"/>
          <w:highlight w:val="none"/>
          <w:lang w:val="en-US" w:eastAsia="zh-CN" w:bidi="ar-SA"/>
        </w:rPr>
        <w:t xml:space="preserve">及投标人认为需要的其他费用等</w:t>
      </w:r>
      <w:r>
        <w:rPr>
          <w:rFonts w:hint="eastAsia" w:ascii="宋体" w:hAnsi="宋体" w:cs="宋体"/>
          <w:b/>
          <w:color w:val="auto"/>
          <w:sz w:val="24"/>
          <w:szCs w:val="24"/>
          <w:highlight w:val="none"/>
          <w:lang w:val="en-US" w:eastAsia="zh-CN" w:bidi="ar-SA"/>
        </w:rPr>
        <w:t xml:space="preserve">。</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11.3投标人的任何错漏、优惠、竞争性报价不得作为减轻责任、减少服务、增加收费、降低质量的理由。</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12、投标文件的其他部分</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12.1 其他部分由投标人根据编制投标文件需要提供的其他相关文件组成。</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13、投标保证金（本项目无需缴纳投标保证金）</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14、投标有效期</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14.1 自开标之日起</w:t>
      </w:r>
      <w:r>
        <w:rPr>
          <w:rFonts w:hint="eastAsia" w:ascii="宋体" w:hAnsi="宋体" w:cs="宋体"/>
          <w:b/>
          <w:color w:val="auto"/>
          <w:sz w:val="24"/>
          <w:szCs w:val="24"/>
          <w:highlight w:val="none"/>
          <w:lang w:val="en-US" w:eastAsia="zh-CN" w:bidi="ar-SA"/>
        </w:rPr>
        <w:t xml:space="preserve">90</w:t>
      </w:r>
      <w:r>
        <w:rPr>
          <w:rFonts w:hint="eastAsia" w:ascii="宋体" w:hAnsi="宋体" w:cs="宋体"/>
          <w:color w:val="auto"/>
          <w:sz w:val="24"/>
          <w:szCs w:val="24"/>
          <w:highlight w:val="none"/>
          <w:lang w:val="en-US" w:eastAsia="zh-CN" w:bidi="ar-SA"/>
        </w:rPr>
        <w:t xml:space="preserve">天内投标有效</w:t>
      </w:r>
      <w:r>
        <w:rPr>
          <w:rFonts w:hint="eastAsia" w:ascii="宋体" w:hAnsi="宋体" w:cs="宋体"/>
          <w:b/>
          <w:color w:val="auto"/>
          <w:sz w:val="24"/>
          <w:szCs w:val="32"/>
          <w:highlight w:val="none"/>
          <w:lang w:val="en-US" w:eastAsia="zh-CN" w:bidi="ar-SA"/>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15、投标文件签署</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15.1 投标文件应按照招标文件要求加盖电子公章，否则视为无效投标。</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16、投标费用</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16.1 投标人应承担所有与准备和参加投标有关的费用，无论招标结果如何，采购代理机构和采购人在任何情况下均无义务和责任承担这些费用。</w:t>
      </w:r>
      <w:r/>
    </w:p>
    <w:p>
      <w:pPr>
        <w:ind w:firstLine="422"/>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16.2</w:t>
      </w:r>
      <w:r>
        <w:rPr>
          <w:rFonts w:hint="eastAsia" w:ascii="宋体" w:hAnsi="宋体" w:cs="宋体"/>
          <w:bCs/>
          <w:color w:val="auto"/>
          <w:sz w:val="24"/>
          <w:szCs w:val="24"/>
          <w:highlight w:val="none"/>
          <w:lang w:val="zh-CN" w:eastAsia="zh-CN" w:bidi="ar-SA"/>
        </w:rPr>
        <w:t xml:space="preserve">招标代理服务费参照苏招协[2022]002文，计费值为中标（成交）价</w:t>
      </w:r>
      <w:r>
        <w:rPr>
          <w:rFonts w:hint="eastAsia" w:ascii="宋体" w:hAnsi="宋体" w:cs="宋体"/>
          <w:bCs/>
          <w:color w:val="auto"/>
          <w:sz w:val="24"/>
          <w:szCs w:val="24"/>
          <w:highlight w:val="none"/>
          <w:lang w:val="en-US" w:eastAsia="zh-CN" w:bidi="ar-SA"/>
        </w:rPr>
        <w:t xml:space="preserve">。</w:t>
      </w:r>
      <w:r/>
    </w:p>
    <w:p>
      <w:pPr>
        <w:ind w:firstLine="422"/>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16.3以上费用由中标（成交）人在领取成交通知书时一次性办理。</w:t>
      </w:r>
      <w:r/>
    </w:p>
    <w:p>
      <w:pPr>
        <w:ind w:firstLine="422"/>
        <w:spacing w:line="360" w:lineRule="auto"/>
        <w:shd w:val="clear" w:color="auto" w:fill="ffffff"/>
        <w:widowControl w:val="off"/>
        <w:rPr>
          <w:rFonts w:hint="eastAsia" w:ascii="宋体" w:hAnsi="宋体" w:cs="宋体"/>
          <w:bCs/>
          <w:color w:val="auto"/>
          <w:sz w:val="24"/>
          <w:szCs w:val="24"/>
          <w:highlight w:val="none"/>
          <w:lang w:val="zh-CN" w:eastAsia="zh-CN" w:bidi="ar-SA"/>
        </w:rPr>
      </w:pPr>
      <w:r>
        <w:rPr>
          <w:rFonts w:hint="eastAsia" w:ascii="宋体" w:hAnsi="宋体" w:cs="宋体"/>
          <w:bCs/>
          <w:color w:val="auto"/>
          <w:sz w:val="24"/>
          <w:szCs w:val="24"/>
          <w:highlight w:val="none"/>
          <w:lang w:val="en-US" w:eastAsia="zh-CN" w:bidi="ar-SA"/>
        </w:rPr>
        <w:t xml:space="preserve">16.4 </w:t>
      </w:r>
      <w:r>
        <w:rPr>
          <w:rFonts w:hint="eastAsia" w:ascii="宋体" w:hAnsi="宋体" w:cs="宋体"/>
          <w:bCs/>
          <w:color w:val="auto"/>
          <w:sz w:val="24"/>
          <w:szCs w:val="24"/>
          <w:highlight w:val="none"/>
          <w:lang w:val="zh-CN" w:eastAsia="zh-CN" w:bidi="ar-SA"/>
        </w:rPr>
        <w:t xml:space="preserve">响应人应将上述费用考虑在响应报价中，综合考虑上述费用，后续采购人不再单独列支。</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四、投标文件的递交</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17、投标文件的递交</w:t>
      </w:r>
      <w:r/>
    </w:p>
    <w:p>
      <w:pPr>
        <w:ind w:firstLine="422"/>
        <w:spacing w:line="360" w:lineRule="auto"/>
        <w:shd w:val="clear" w:color="auto" w:fill="ffffff"/>
        <w:widowControl w:val="off"/>
        <w:rPr>
          <w:rFonts w:hint="eastAsia" w:ascii="宋体" w:hAnsi="宋体" w:cs="宋体"/>
          <w:b/>
          <w:bCs/>
          <w:color w:val="auto"/>
          <w:sz w:val="24"/>
          <w:szCs w:val="24"/>
          <w:highlight w:val="none"/>
          <w:lang w:val="zh-CN" w:eastAsia="zh-CN" w:bidi="ar-SA"/>
        </w:rPr>
      </w:pPr>
      <w:r>
        <w:rPr>
          <w:rFonts w:hint="eastAsia" w:ascii="宋体" w:hAnsi="宋体" w:cs="宋体"/>
          <w:b/>
          <w:bCs/>
          <w:color w:val="auto"/>
          <w:sz w:val="24"/>
          <w:szCs w:val="24"/>
          <w:highlight w:val="none"/>
          <w:lang w:val="en-US" w:eastAsia="zh-CN" w:bidi="ar-SA"/>
        </w:rPr>
        <w:t xml:space="preserve">17.1 投标人应当按照《操作手册》规定，在招标公告规定的投标截止时间前制作并上传电子投标文件。</w:t>
      </w:r>
      <w:r>
        <w:rPr>
          <w:rFonts w:hint="eastAsia" w:ascii="宋体" w:hAnsi="宋体" w:cs="宋体"/>
          <w:b/>
          <w:bCs/>
          <w:color w:val="auto"/>
          <w:sz w:val="24"/>
          <w:szCs w:val="24"/>
          <w:highlight w:val="none"/>
          <w:lang w:val="zh-CN" w:eastAsia="zh-CN" w:bidi="ar-SA"/>
        </w:rPr>
        <w:t xml:space="preserve">招标代理机构拒绝接收提交</w:t>
      </w:r>
      <w:r>
        <w:rPr>
          <w:rFonts w:hint="eastAsia" w:ascii="宋体" w:hAnsi="宋体" w:cs="宋体"/>
          <w:b/>
          <w:bCs/>
          <w:color w:val="auto"/>
          <w:sz w:val="24"/>
          <w:szCs w:val="24"/>
          <w:highlight w:val="none"/>
          <w:lang w:val="en-US" w:eastAsia="zh-CN" w:bidi="ar-SA"/>
        </w:rPr>
        <w:t xml:space="preserve">投标</w:t>
      </w:r>
      <w:r>
        <w:rPr>
          <w:rFonts w:hint="eastAsia" w:ascii="宋体" w:hAnsi="宋体" w:cs="宋体"/>
          <w:b/>
          <w:bCs/>
          <w:color w:val="auto"/>
          <w:sz w:val="24"/>
          <w:szCs w:val="24"/>
          <w:highlight w:val="none"/>
          <w:lang w:val="zh-CN" w:eastAsia="zh-CN" w:bidi="ar-SA"/>
        </w:rPr>
        <w:t xml:space="preserve">文件截止时间后上传的任何电子</w:t>
      </w:r>
      <w:r>
        <w:rPr>
          <w:rFonts w:hint="eastAsia" w:ascii="宋体" w:hAnsi="宋体" w:cs="宋体"/>
          <w:b/>
          <w:bCs/>
          <w:color w:val="auto"/>
          <w:sz w:val="24"/>
          <w:szCs w:val="24"/>
          <w:highlight w:val="none"/>
          <w:lang w:val="en-US" w:eastAsia="zh-CN" w:bidi="ar-SA"/>
        </w:rPr>
        <w:t xml:space="preserve">投标</w:t>
      </w:r>
      <w:r>
        <w:rPr>
          <w:rFonts w:hint="eastAsia" w:ascii="宋体" w:hAnsi="宋体" w:cs="宋体"/>
          <w:b/>
          <w:bCs/>
          <w:color w:val="auto"/>
          <w:sz w:val="24"/>
          <w:szCs w:val="24"/>
          <w:highlight w:val="none"/>
          <w:lang w:val="zh-CN" w:eastAsia="zh-CN" w:bidi="ar-SA"/>
        </w:rPr>
        <w:t xml:space="preserve">文件。</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18、投标文件的解密</w:t>
      </w:r>
      <w:r/>
    </w:p>
    <w:p>
      <w:pPr>
        <w:ind w:firstLine="422"/>
        <w:spacing w:line="360" w:lineRule="auto"/>
        <w:shd w:val="clear" w:color="auto" w:fill="ffffff"/>
        <w:widowControl w:val="off"/>
        <w:rPr>
          <w:rFonts w:hint="eastAsia" w:ascii="宋体" w:hAnsi="宋体" w:cs="宋体"/>
          <w:b/>
          <w:bCs/>
          <w:color w:val="auto"/>
          <w:sz w:val="24"/>
          <w:szCs w:val="24"/>
          <w:highlight w:val="none"/>
          <w:lang w:val="zh-CN" w:eastAsia="zh-CN" w:bidi="ar-SA"/>
        </w:rPr>
      </w:pPr>
      <w:r>
        <w:rPr>
          <w:rFonts w:hint="eastAsia" w:ascii="宋体" w:hAnsi="宋体" w:cs="宋体"/>
          <w:b/>
          <w:bCs/>
          <w:color w:val="auto"/>
          <w:sz w:val="24"/>
          <w:szCs w:val="24"/>
          <w:highlight w:val="none"/>
          <w:lang w:val="en-US" w:eastAsia="zh-CN" w:bidi="ar-SA"/>
        </w:rPr>
        <w:t xml:space="preserve">18.1 投标人</w:t>
      </w:r>
      <w:r>
        <w:rPr>
          <w:rFonts w:hint="eastAsia" w:ascii="宋体" w:hAnsi="宋体" w:cs="宋体"/>
          <w:b/>
          <w:bCs/>
          <w:color w:val="auto"/>
          <w:sz w:val="24"/>
          <w:szCs w:val="24"/>
          <w:highlight w:val="none"/>
          <w:lang w:val="zh-CN" w:eastAsia="zh-CN" w:bidi="ar-SA"/>
        </w:rPr>
        <w:t xml:space="preserve">应当按照《操作手册》规定，在“苏采云”系统规定的时间内对</w:t>
      </w:r>
      <w:r>
        <w:rPr>
          <w:rFonts w:hint="eastAsia" w:ascii="宋体" w:hAnsi="宋体" w:cs="宋体"/>
          <w:b/>
          <w:bCs/>
          <w:color w:val="auto"/>
          <w:sz w:val="24"/>
          <w:szCs w:val="24"/>
          <w:highlight w:val="none"/>
          <w:lang w:val="en-US" w:eastAsia="zh-CN" w:bidi="ar-SA"/>
        </w:rPr>
        <w:t xml:space="preserve">投标</w:t>
      </w:r>
      <w:r>
        <w:rPr>
          <w:rFonts w:hint="eastAsia" w:ascii="宋体" w:hAnsi="宋体" w:cs="宋体"/>
          <w:b/>
          <w:bCs/>
          <w:color w:val="auto"/>
          <w:sz w:val="24"/>
          <w:szCs w:val="24"/>
          <w:highlight w:val="none"/>
          <w:lang w:val="zh-CN" w:eastAsia="zh-CN" w:bidi="ar-SA"/>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auto"/>
          <w:sz w:val="24"/>
          <w:szCs w:val="24"/>
          <w:highlight w:val="none"/>
          <w:lang w:val="en-US" w:eastAsia="zh-CN" w:bidi="ar-SA"/>
        </w:rPr>
        <w:t xml:space="preserve">按</w:t>
      </w:r>
      <w:r>
        <w:rPr>
          <w:rFonts w:hint="eastAsia" w:ascii="宋体" w:hAnsi="宋体" w:cs="宋体"/>
          <w:b/>
          <w:bCs/>
          <w:color w:val="auto"/>
          <w:sz w:val="24"/>
          <w:szCs w:val="24"/>
          <w:highlight w:val="none"/>
          <w:lang w:val="zh-CN" w:eastAsia="zh-CN" w:bidi="ar-SA"/>
        </w:rPr>
        <w:t xml:space="preserve">做无效投标处理</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18.3 招标人可以按照规定，通过修改招标文件酌情延长投标截止时间，在此情况下，投标人的所有权利和义务均以延长后新的截止时间为准。</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19、投标文件的修改和撤回</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19.1 投标文件的撤回</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19.1.1投标人可在投标截止时间前撤回其电子投标文件，具体操作方法见《操作手册》。</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19.1.2投标人撤回电子投标文件，则认为其不再参与本项目投标活动。</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19.2 投标文件的修改</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19.2.1投标人可在投标截止时间前对其电子投标文件进行修改，具体操作方法见《操作手册》。</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19.2.2投标截止时间之后，投标人不得对其电子投标文件作任何修改。</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19.2.3 在投标截止时间至招标文件中规定的投标有效期满之间的这段时间内，投标人不得撤回其投标。</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20、诚实信用</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20.2在评标过程中发现投标人有上述情形的，评标委员会应当认定其投标无效，并书面报告本级财政部门。</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五、开标、评标与定标</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21、开标</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21.2 投标人在开标过程中涉及到的投标文件解密、开标结果确认等工作，应按照《操作手册》规定执行。</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21.3投标人不足3家的，不得开标。</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21.4 投标人如果对开标过程和开标结果有疑义，应当根据《操作手册》规定提出，“苏采云”系统中《开标记录表》公布后5分钟内未提出的，视同认可开标结果。</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22、评标</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22.1 评标委员会</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22.1 评标由组织评标委员会（以下简称“评委会”）进行。</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22.2 评委会由采购人代表和有关技术、经济等方面的专家组成，且人员构成符合政府采购有关规定。</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22.3 评委会独立工作，负责评审所有投标文件并推荐中标候选人，或根据采购人授权直接确定中标人。</w:t>
      </w:r>
      <w:r/>
    </w:p>
    <w:p>
      <w:pPr>
        <w:ind w:firstLine="422"/>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22.1.1</w:t>
      </w:r>
      <w:r>
        <w:rPr>
          <w:rFonts w:hint="eastAsia" w:ascii="宋体" w:hAnsi="宋体" w:cs="宋体"/>
          <w:bCs/>
          <w:color w:val="auto"/>
          <w:sz w:val="24"/>
          <w:szCs w:val="24"/>
          <w:highlight w:val="none"/>
          <w:lang w:val="en-US" w:eastAsia="zh-CN" w:bidi="ar-SA"/>
        </w:rPr>
        <w:t xml:space="preserve">评标委员会负责具体评标事务，并独立履行下列职责：</w:t>
      </w:r>
      <w:r/>
    </w:p>
    <w:p>
      <w:pPr>
        <w:ind w:firstLine="420"/>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（一）审查、评价投标文件是否符合招标文件的商务、技术等实质性要求；</w:t>
      </w:r>
      <w:r/>
    </w:p>
    <w:p>
      <w:pPr>
        <w:ind w:firstLine="420"/>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（二）要求投标人对投标文件有关事项作出澄清或者说明；</w:t>
      </w:r>
      <w:r/>
    </w:p>
    <w:p>
      <w:pPr>
        <w:ind w:firstLine="420"/>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（三）对投标文件进行比较和评价；</w:t>
      </w:r>
      <w:r/>
    </w:p>
    <w:p>
      <w:pPr>
        <w:ind w:firstLine="420"/>
        <w:spacing w:line="360" w:lineRule="auto"/>
        <w:shd w:val="clear" w:color="auto" w:fill="ffffff"/>
        <w:widowControl w:val="off"/>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（四）确定中标候选人名单，以及根据采购人委托直接确定中标人；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（五）向采购人、采购代理机构或者有关部门报告评标中发现的违法行为。</w:t>
      </w:r>
      <w:r/>
    </w:p>
    <w:p>
      <w:pPr>
        <w:ind w:firstLine="422"/>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22.2  评标程序</w:t>
      </w:r>
      <w:r/>
    </w:p>
    <w:p>
      <w:pPr>
        <w:ind w:firstLine="422"/>
        <w:jc w:val="left"/>
        <w:spacing w:line="360" w:lineRule="auto"/>
        <w:shd w:val="clear" w:color="auto" w:fill="ffffff"/>
        <w:widowControl w:val="off"/>
        <w:rPr>
          <w:rFonts w:hint="eastAsia"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22.2.1 </w:t>
      </w:r>
      <w:r>
        <w:rPr>
          <w:rFonts w:hint="eastAsia" w:ascii="宋体" w:hAnsi="宋体" w:cs="宋体"/>
          <w:b/>
          <w:bCs/>
          <w:color w:val="auto"/>
          <w:sz w:val="24"/>
          <w:szCs w:val="24"/>
          <w:highlight w:val="none"/>
          <w:lang w:val="en-US" w:eastAsia="zh-CN" w:bidi="ar-SA"/>
        </w:rPr>
        <w:t xml:space="preserve">投标文件的资格性检查。</w:t>
      </w:r>
      <w:r>
        <w:rPr>
          <w:rFonts w:hint="eastAsia" w:ascii="宋体" w:hAnsi="宋体" w:cs="宋体"/>
          <w:color w:val="auto"/>
          <w:sz w:val="24"/>
          <w:szCs w:val="24"/>
          <w:highlight w:val="none"/>
          <w:lang w:val="en-US" w:eastAsia="zh-CN" w:bidi="ar-SA"/>
        </w:rPr>
        <w:t xml:space="preserve">公开招标采购项目开标结束后，</w:t>
      </w:r>
      <w:r>
        <w:rPr>
          <w:rFonts w:hint="eastAsia" w:ascii="宋体" w:hAnsi="宋体" w:cs="宋体"/>
          <w:color w:val="auto"/>
          <w:sz w:val="24"/>
          <w:szCs w:val="32"/>
          <w:highlight w:val="none"/>
          <w:lang w:val="en-US" w:eastAsia="zh-CN" w:bidi="ar-SA"/>
        </w:rPr>
        <w:t xml:space="preserve">采购人</w:t>
      </w:r>
      <w:r>
        <w:rPr>
          <w:rFonts w:hint="eastAsia" w:ascii="宋体" w:hAnsi="宋体" w:cs="宋体"/>
          <w:color w:val="auto"/>
          <w:sz w:val="24"/>
          <w:szCs w:val="24"/>
          <w:highlight w:val="none"/>
          <w:lang w:val="en-US" w:eastAsia="zh-CN" w:bidi="ar-SA"/>
        </w:rPr>
        <w:t xml:space="preserve">或者</w:t>
      </w:r>
      <w:r>
        <w:rPr>
          <w:rFonts w:hint="eastAsia" w:ascii="宋体" w:hAnsi="宋体" w:cs="宋体"/>
          <w:color w:val="auto"/>
          <w:sz w:val="24"/>
          <w:szCs w:val="32"/>
          <w:highlight w:val="none"/>
          <w:lang w:val="en-US" w:eastAsia="zh-CN" w:bidi="ar-SA"/>
        </w:rPr>
        <w:t xml:space="preserve">采购代理机构</w:t>
      </w:r>
      <w:r>
        <w:rPr>
          <w:rFonts w:hint="eastAsia" w:ascii="宋体" w:hAnsi="宋体" w:cs="宋体"/>
          <w:color w:val="auto"/>
          <w:sz w:val="24"/>
          <w:szCs w:val="24"/>
          <w:highlight w:val="none"/>
          <w:lang w:val="en-US" w:eastAsia="zh-CN" w:bidi="ar-SA"/>
        </w:rPr>
        <w:t xml:space="preserve">应当依法对投标人的资格进行审查。合格投标人不足3家的，不得评标。</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（1）投标人在“苏采云”系统规定的时间内未成功解密电子投标文件的；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（2）投标人未按照招标文件要求上传电子投标文件的；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（3）同一投标人提交两个（含两个）以上不同的投标报价的；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（4）投标文件未按照招标文件要求加盖电子公章的；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（5）不具备招标文件中规定的资格要求的；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（6）报价超过招标文件中规定的预算金额或者最高限价的；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（7）投标文件含有采购人不能接受的附加条件的；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（8）投标文件内容不全或不符合招标文件中规定的其他实质性要求的；</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（9）现行法律、法规、规章和招标文件规定的其他无效情形。</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22.2.2.1 实质性要求是指本招标文件中用带星号（“</w:t>
      </w:r>
      <w:r>
        <w:rPr>
          <w:rFonts w:hint="eastAsia" w:ascii="宋体" w:hAnsi="宋体" w:cs="宋体"/>
          <w:b/>
          <w:bCs/>
          <w:color w:val="auto"/>
          <w:sz w:val="24"/>
          <w:szCs w:val="32"/>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”）等或者其他明确要求的废标的商务和技术要求。</w:t>
      </w:r>
      <w:r/>
    </w:p>
    <w:p>
      <w:pPr>
        <w:ind w:firstLine="422"/>
        <w:spacing w:line="360" w:lineRule="auto"/>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22.2.2.2未通过资格审查或符合性审查的投标人，代理机构将通过“苏采云”系统告知其具体原因，评标结束后不再接受有关询问。</w:t>
      </w:r>
      <w:r/>
    </w:p>
    <w:p>
      <w:pPr>
        <w:ind w:firstLine="422"/>
        <w:spacing w:line="360" w:lineRule="auto"/>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22.2.2.3有下列情形之一的予以废标：</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（1）符合专业条件的投标人或者对招标文件作实质性响应的投标人不足三家的；</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（2）出现影响采购公正的违法、违规行为的；</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（3）投标人的报价均超过了采购预算，采购人不能支付的；</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（4）因苏采云系统故障造成开标不成功的；</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（5）因重大变故，采购任务取消的。</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22.2.3</w:t>
      </w:r>
      <w:r>
        <w:rPr>
          <w:rFonts w:hint="eastAsia" w:ascii="宋体" w:hAnsi="宋体" w:cs="宋体"/>
          <w:b/>
          <w:bCs/>
          <w:color w:val="auto"/>
          <w:sz w:val="24"/>
          <w:szCs w:val="24"/>
          <w:highlight w:val="none"/>
          <w:lang w:val="en-US" w:eastAsia="zh-CN" w:bidi="ar-SA"/>
        </w:rPr>
        <w:t xml:space="preserve">澄清有关问题</w:t>
      </w:r>
      <w:r>
        <w:rPr>
          <w:rFonts w:hint="eastAsia" w:ascii="宋体" w:hAnsi="宋体" w:cs="宋体"/>
          <w:color w:val="auto"/>
          <w:sz w:val="24"/>
          <w:szCs w:val="24"/>
          <w:highlight w:val="none"/>
          <w:lang w:val="en-US" w:eastAsia="zh-CN" w:bidi="ar-SA"/>
        </w:rPr>
        <w:t xml:space="preserve">。</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投标人的澄清、说明或者补正不得超出投标文件的范围或者改变投标文件的实质性内容。</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评委会并非对每个投标人都做澄清要求。</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22.2.3.3 接到评委会澄清、说明和补正要求的，投标人如未按规定作出澄清、说明和补正，其风险由投标人自行承担。</w:t>
      </w:r>
      <w:r/>
    </w:p>
    <w:p>
      <w:pPr>
        <w:ind w:firstLine="420"/>
        <w:spacing w:line="360" w:lineRule="auto"/>
        <w:widowControl w:val="off"/>
        <w:rPr>
          <w:rFonts w:hint="eastAsia" w:ascii="宋体" w:hAnsi="宋体" w:cs="宋体"/>
          <w:color w:val="auto"/>
          <w:sz w:val="24"/>
          <w:szCs w:val="32"/>
          <w:highlight w:val="none"/>
          <w:lang w:val="en-US" w:eastAsia="zh-CN" w:bidi="ar-SA"/>
        </w:rPr>
      </w:pPr>
      <w:r>
        <w:rPr>
          <w:rFonts w:hint="eastAsia" w:ascii="宋体" w:hAnsi="宋体" w:cs="宋体"/>
          <w:color w:val="auto"/>
          <w:sz w:val="24"/>
          <w:szCs w:val="24"/>
          <w:highlight w:val="none"/>
          <w:lang w:val="en-US" w:eastAsia="zh-CN" w:bidi="ar-SA"/>
        </w:rPr>
        <w:t xml:space="preserve">22.2.3.4</w:t>
      </w:r>
      <w:r>
        <w:rPr>
          <w:rFonts w:hint="eastAsia" w:ascii="宋体" w:hAnsi="宋体" w:cs="宋体"/>
          <w:color w:val="auto"/>
          <w:sz w:val="24"/>
          <w:szCs w:val="32"/>
          <w:highlight w:val="none"/>
          <w:lang w:val="en-US" w:eastAsia="zh-CN" w:bidi="ar-SA"/>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22.2.4</w:t>
      </w:r>
      <w:r>
        <w:rPr>
          <w:rFonts w:hint="eastAsia" w:ascii="宋体" w:hAnsi="宋体" w:cs="宋体"/>
          <w:bCs/>
          <w:color w:val="auto"/>
          <w:sz w:val="24"/>
          <w:szCs w:val="24"/>
          <w:highlight w:val="none"/>
          <w:lang w:val="en-US" w:eastAsia="zh-CN" w:bidi="ar-SA"/>
        </w:rPr>
        <w:t xml:space="preserve">比较与评价。</w:t>
      </w:r>
      <w:r>
        <w:rPr>
          <w:rFonts w:hint="eastAsia" w:ascii="宋体" w:hAnsi="宋体" w:cs="宋体"/>
          <w:color w:val="auto"/>
          <w:sz w:val="24"/>
          <w:szCs w:val="24"/>
          <w:highlight w:val="none"/>
          <w:lang w:val="en-US" w:eastAsia="zh-CN" w:bidi="ar-SA"/>
        </w:rPr>
        <w:t xml:space="preserve">评标委员会应当按照招标文件中规定的评标方法和标准，对符合性审查合格的投标文件进行商务和技术评估，综合比较与评价。</w:t>
      </w:r>
      <w:r/>
    </w:p>
    <w:p>
      <w:pPr>
        <w:ind w:firstLine="422"/>
        <w:jc w:val="left"/>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22.3 评标方法和标准</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23.3 采用综合评分法的，评标结果按评审后最终得分由高到低进行排名，得分相同的，按投标报价由低到高顺序排列。得分且投标报价相同的，按技术部分方案优劣顺序排列。</w:t>
      </w:r>
      <w:r/>
    </w:p>
    <w:p>
      <w:pPr>
        <w:ind w:firstLine="422"/>
        <w:spacing w:line="360" w:lineRule="auto"/>
        <w:shd w:val="clear" w:color="auto" w:fill="ffffff"/>
        <w:widowControl w:val="off"/>
        <w:rPr>
          <w:rFonts w:hint="eastAsia" w:ascii="宋体" w:hAnsi="宋体" w:cs="宋体"/>
          <w:b/>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23、</w:t>
      </w:r>
      <w:r>
        <w:rPr>
          <w:rFonts w:hint="eastAsia" w:ascii="宋体" w:hAnsi="宋体" w:cs="宋体"/>
          <w:b/>
          <w:color w:val="auto"/>
          <w:sz w:val="24"/>
          <w:szCs w:val="24"/>
          <w:highlight w:val="none"/>
          <w:lang w:val="en-US" w:eastAsia="zh-CN" w:bidi="ar-SA"/>
        </w:rPr>
        <w:t xml:space="preserve">确定中标人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23.1 采用综合评分法的，评标结果按评审后最终得分由高到低进行排名，得分相同的，按投标报价由低到高顺序排列。得分且投标报价相同的，按技术部分方案优劣顺序排列。</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23.2按以下第（2）种方式确定中标人：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（1）评委会直接确定排名第一的中标候选人为中标人；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（2）采购人在评委会推荐的中标候选人中按顺序确定中标人。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23.3 中标人确定后，</w:t>
      </w:r>
      <w:r>
        <w:rPr>
          <w:rFonts w:hint="eastAsia" w:ascii="宋体" w:hAnsi="宋体" w:cs="宋体"/>
          <w:color w:val="auto"/>
          <w:sz w:val="24"/>
          <w:szCs w:val="24"/>
          <w:highlight w:val="none"/>
          <w:lang w:val="zh-CN" w:eastAsia="zh-CN" w:bidi="ar-SA"/>
        </w:rPr>
        <w:t xml:space="preserve">将在“</w:t>
      </w:r>
      <w:r>
        <w:rPr>
          <w:rFonts w:hint="eastAsia" w:ascii="宋体" w:hAnsi="宋体" w:cs="宋体"/>
          <w:color w:val="auto"/>
          <w:sz w:val="24"/>
          <w:szCs w:val="24"/>
          <w:highlight w:val="none"/>
          <w:lang w:val="en-US" w:eastAsia="zh-CN" w:bidi="ar-SA"/>
        </w:rPr>
        <w:t xml:space="preserve">江苏政府采购网</w:t>
      </w:r>
      <w:r>
        <w:rPr>
          <w:rFonts w:hint="eastAsia" w:ascii="宋体" w:hAnsi="宋体" w:cs="宋体"/>
          <w:color w:val="auto"/>
          <w:sz w:val="24"/>
          <w:szCs w:val="24"/>
          <w:highlight w:val="none"/>
          <w:lang w:val="zh-CN" w:eastAsia="zh-CN" w:bidi="ar-SA"/>
        </w:rPr>
        <w:t xml:space="preserve">”发布中标公告，公告期限为1个工作日</w:t>
      </w:r>
      <w:r>
        <w:rPr>
          <w:rFonts w:hint="eastAsia" w:ascii="宋体" w:hAnsi="宋体" w:cs="宋体"/>
          <w:color w:val="auto"/>
          <w:sz w:val="24"/>
          <w:szCs w:val="24"/>
          <w:highlight w:val="none"/>
          <w:lang w:val="en-US" w:eastAsia="zh-CN" w:bidi="ar-SA"/>
        </w:rPr>
        <w:t xml:space="preserve">。</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24、中标通知书</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24.1</w:t>
      </w:r>
      <w:r>
        <w:rPr>
          <w:rFonts w:hint="eastAsia" w:ascii="宋体" w:hAnsi="宋体" w:cs="宋体"/>
          <w:color w:val="auto"/>
          <w:sz w:val="24"/>
          <w:szCs w:val="24"/>
          <w:highlight w:val="none"/>
          <w:lang w:val="zh-CN" w:eastAsia="zh-CN" w:bidi="ar-SA"/>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auto"/>
          <w:sz w:val="24"/>
          <w:szCs w:val="24"/>
          <w:highlight w:val="none"/>
          <w:lang w:val="en-US" w:eastAsia="zh-CN" w:bidi="ar-SA"/>
        </w:rPr>
        <w:t xml:space="preserve">。</w:t>
      </w:r>
      <w:r/>
    </w:p>
    <w:p>
      <w:pPr>
        <w:ind w:firstLine="420"/>
        <w:spacing w:line="360" w:lineRule="auto"/>
        <w:shd w:val="clear" w:color="auto" w:fill="ffffff"/>
        <w:widowControl w:val="off"/>
        <w:rPr>
          <w:rFonts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24.2《中标通知书》是合同的一个组成部分，对采购人和中标人均具有法律效力。《中标通知书》发出后，采购人改变中标结果或者中标人放弃中标项目的，应当依法承担法律责任。</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25、评标过程的保密性</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25.1 凡是与审查、澄清、评价和比较投标的有关资料以及投标建议等，采购人、评委、均不得向投标人或与评标无关的其他人员透露。</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25.2 投标人不得以任何方式影响评标，否则其投标文件将被作为无效投标文件。</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25.3 招标人和评委会不向未中标的投标人解释未中标原因，也不公布评标过程中的相关细节。</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25.4 采用综合评分法的项目，未中标的投标人可于中标结果公告期限届满之日起通过苏采云系统查看本单位的评审得分及排名情况。</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六、签订合同</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26、签订合同</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26.1</w:t>
      </w:r>
      <w:r>
        <w:rPr>
          <w:rFonts w:hint="eastAsia" w:ascii="宋体" w:hAnsi="宋体" w:cs="宋体"/>
          <w:color w:val="auto"/>
          <w:sz w:val="24"/>
          <w:szCs w:val="24"/>
          <w:highlight w:val="none"/>
          <w:lang w:val="zh-CN" w:eastAsia="zh-CN" w:bidi="ar-SA"/>
        </w:rPr>
        <w:t xml:space="preserve">中标人应当</w:t>
      </w:r>
      <w:r>
        <w:rPr>
          <w:rFonts w:hint="eastAsia" w:ascii="宋体" w:hAnsi="宋体" w:cs="宋体"/>
          <w:color w:val="auto"/>
          <w:sz w:val="24"/>
          <w:szCs w:val="24"/>
          <w:highlight w:val="none"/>
          <w:lang w:val="en-US" w:eastAsia="zh-CN" w:bidi="ar-SA"/>
        </w:rPr>
        <w:t xml:space="preserve">在《</w:t>
      </w:r>
      <w:r>
        <w:rPr>
          <w:rFonts w:hint="eastAsia" w:ascii="宋体" w:hAnsi="宋体" w:cs="宋体"/>
          <w:color w:val="auto"/>
          <w:sz w:val="24"/>
          <w:szCs w:val="24"/>
          <w:highlight w:val="none"/>
          <w:lang w:val="zh-CN" w:eastAsia="zh-CN" w:bidi="ar-SA"/>
        </w:rPr>
        <w:t xml:space="preserve">中标通知书</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zh-CN" w:eastAsia="zh-CN" w:bidi="ar-SA"/>
        </w:rPr>
        <w:t xml:space="preserve">发出之日起三十日内，按照招标文件确定的事项与采购人签订政府采购合同。</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26.2</w:t>
      </w:r>
      <w:r>
        <w:rPr>
          <w:rFonts w:hint="eastAsia" w:ascii="宋体" w:hAnsi="宋体" w:cs="宋体"/>
          <w:color w:val="auto"/>
          <w:sz w:val="24"/>
          <w:szCs w:val="24"/>
          <w:highlight w:val="none"/>
          <w:lang w:val="zh-CN" w:eastAsia="zh-CN" w:bidi="ar-SA"/>
        </w:rPr>
        <w:t xml:space="preserve">招标文件、中标人的投标文件及招标过程中有关澄清、承诺文件均作为合同附件</w:t>
      </w:r>
      <w:r>
        <w:rPr>
          <w:rFonts w:hint="eastAsia" w:ascii="宋体" w:hAnsi="宋体" w:cs="宋体"/>
          <w:b/>
          <w:bCs/>
          <w:color w:val="auto"/>
          <w:sz w:val="24"/>
          <w:szCs w:val="24"/>
          <w:highlight w:val="none"/>
          <w:lang w:val="en-US" w:eastAsia="zh-CN" w:bidi="ar-SA"/>
        </w:rPr>
        <w:t xml:space="preserve">。</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26.3</w:t>
      </w:r>
      <w:r>
        <w:rPr>
          <w:rFonts w:hint="eastAsia" w:ascii="宋体" w:hAnsi="宋体" w:cs="宋体"/>
          <w:color w:val="auto"/>
          <w:sz w:val="24"/>
          <w:szCs w:val="24"/>
          <w:highlight w:val="none"/>
          <w:lang w:val="zh-CN" w:eastAsia="zh-CN" w:bidi="ar-SA"/>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auto"/>
          <w:sz w:val="24"/>
          <w:szCs w:val="24"/>
          <w:highlight w:val="none"/>
          <w:lang w:val="en-US" w:eastAsia="zh-CN" w:bidi="ar-SA"/>
        </w:rPr>
        <w:t xml:space="preserve">。</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26.4</w:t>
      </w:r>
      <w:r>
        <w:rPr>
          <w:rFonts w:hint="eastAsia" w:ascii="宋体" w:hAnsi="宋体" w:cs="宋体"/>
          <w:color w:val="auto"/>
          <w:sz w:val="24"/>
          <w:szCs w:val="24"/>
          <w:highlight w:val="none"/>
          <w:lang w:val="zh-CN" w:eastAsia="zh-CN" w:bidi="ar-SA"/>
        </w:rPr>
        <w:t xml:space="preserve">中标人因自身原因拒绝与采购人签订合同的，不得参加采购人</w:t>
      </w:r>
      <w:r>
        <w:rPr>
          <w:rFonts w:hint="eastAsia" w:ascii="宋体" w:hAnsi="宋体" w:cs="宋体"/>
          <w:color w:val="auto"/>
          <w:sz w:val="24"/>
          <w:szCs w:val="24"/>
          <w:highlight w:val="none"/>
          <w:lang w:val="en-US" w:eastAsia="zh-CN" w:bidi="ar-SA"/>
        </w:rPr>
        <w:t xml:space="preserve">重新组织的</w:t>
      </w:r>
      <w:r>
        <w:rPr>
          <w:rFonts w:hint="eastAsia" w:ascii="宋体" w:hAnsi="宋体" w:cs="宋体"/>
          <w:color w:val="auto"/>
          <w:sz w:val="24"/>
          <w:szCs w:val="24"/>
          <w:highlight w:val="none"/>
          <w:lang w:val="zh-CN" w:eastAsia="zh-CN" w:bidi="ar-SA"/>
        </w:rPr>
        <w:t xml:space="preserve">采购活动</w:t>
      </w:r>
      <w:r>
        <w:rPr>
          <w:rFonts w:hint="eastAsia" w:ascii="宋体" w:hAnsi="宋体" w:cs="宋体"/>
          <w:color w:val="auto"/>
          <w:sz w:val="24"/>
          <w:szCs w:val="24"/>
          <w:highlight w:val="none"/>
          <w:lang w:val="en-US" w:eastAsia="zh-CN" w:bidi="ar-SA"/>
        </w:rPr>
        <w:t xml:space="preserve">，且将可能被拒绝参加该采购人</w:t>
      </w:r>
      <w:r>
        <w:rPr>
          <w:rFonts w:hint="eastAsia" w:ascii="宋体" w:hAnsi="宋体" w:cs="宋体"/>
          <w:color w:val="auto"/>
          <w:sz w:val="24"/>
          <w:szCs w:val="24"/>
          <w:highlight w:val="none"/>
          <w:lang w:val="zh-CN" w:eastAsia="zh-CN" w:bidi="ar-SA"/>
        </w:rPr>
        <w:t xml:space="preserve">一年内</w:t>
      </w:r>
      <w:r>
        <w:rPr>
          <w:rFonts w:hint="eastAsia" w:ascii="宋体" w:hAnsi="宋体" w:cs="宋体"/>
          <w:color w:val="auto"/>
          <w:sz w:val="24"/>
          <w:szCs w:val="24"/>
          <w:highlight w:val="none"/>
          <w:lang w:val="en-US" w:eastAsia="zh-CN" w:bidi="ar-SA"/>
        </w:rPr>
        <w:t xml:space="preserve">的其他</w:t>
      </w:r>
      <w:r>
        <w:rPr>
          <w:rFonts w:hint="eastAsia" w:ascii="宋体" w:hAnsi="宋体" w:cs="宋体"/>
          <w:color w:val="auto"/>
          <w:sz w:val="24"/>
          <w:szCs w:val="24"/>
          <w:highlight w:val="none"/>
          <w:lang w:val="zh-CN" w:eastAsia="zh-CN" w:bidi="ar-SA"/>
        </w:rPr>
        <w:t xml:space="preserve">政府采购活动</w:t>
      </w:r>
      <w:r>
        <w:rPr>
          <w:rFonts w:hint="eastAsia" w:ascii="宋体" w:hAnsi="宋体" w:cs="宋体"/>
          <w:color w:val="auto"/>
          <w:sz w:val="24"/>
          <w:szCs w:val="24"/>
          <w:highlight w:val="none"/>
          <w:lang w:val="en-US" w:eastAsia="zh-CN" w:bidi="ar-SA"/>
        </w:rPr>
        <w:t xml:space="preserve">。</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26.5 </w:t>
      </w:r>
      <w:r>
        <w:rPr>
          <w:rFonts w:ascii="宋体" w:hAnsi="宋体" w:cs="宋体"/>
          <w:color w:val="auto"/>
          <w:sz w:val="24"/>
          <w:szCs w:val="24"/>
          <w:highlight w:val="none"/>
          <w:lang w:val="zh-CN" w:eastAsia="zh-CN" w:bidi="ar-SA"/>
        </w:rPr>
        <w:t xml:space="preserve">中标</w:t>
      </w:r>
      <w:r>
        <w:rPr>
          <w:rFonts w:hint="eastAsia" w:ascii="宋体" w:hAnsi="宋体" w:cs="宋体"/>
          <w:color w:val="auto"/>
          <w:sz w:val="24"/>
          <w:szCs w:val="24"/>
          <w:highlight w:val="none"/>
          <w:lang w:val="zh-CN" w:eastAsia="zh-CN" w:bidi="ar-SA"/>
        </w:rPr>
        <w:t xml:space="preserve">人</w:t>
      </w:r>
      <w:r>
        <w:rPr>
          <w:rFonts w:ascii="宋体" w:hAnsi="宋体" w:cs="宋体"/>
          <w:color w:val="auto"/>
          <w:sz w:val="24"/>
          <w:szCs w:val="24"/>
          <w:highlight w:val="none"/>
          <w:lang w:val="zh-CN" w:eastAsia="zh-CN" w:bidi="ar-SA"/>
        </w:rPr>
        <w:t xml:space="preserve">因不可抗力或者自身原因不能履</w:t>
      </w:r>
      <w:r>
        <w:rPr>
          <w:rFonts w:hint="eastAsia" w:ascii="宋体" w:hAnsi="宋体" w:cs="宋体"/>
          <w:color w:val="auto"/>
          <w:sz w:val="24"/>
          <w:szCs w:val="24"/>
          <w:highlight w:val="none"/>
          <w:lang w:val="zh-CN" w:eastAsia="zh-CN" w:bidi="ar-SA"/>
        </w:rPr>
        <w:t xml:space="preserve">行</w:t>
      </w:r>
      <w:r>
        <w:rPr>
          <w:rFonts w:ascii="宋体" w:hAnsi="宋体" w:cs="宋体"/>
          <w:color w:val="auto"/>
          <w:sz w:val="24"/>
          <w:szCs w:val="24"/>
          <w:highlight w:val="none"/>
          <w:lang w:val="zh-CN" w:eastAsia="zh-CN" w:bidi="ar-SA"/>
        </w:rPr>
        <w:t xml:space="preserve">合同的，</w:t>
      </w:r>
      <w:r>
        <w:rPr>
          <w:rFonts w:hint="eastAsia" w:ascii="宋体" w:hAnsi="宋体" w:cs="宋体"/>
          <w:color w:val="auto"/>
          <w:sz w:val="24"/>
          <w:szCs w:val="24"/>
          <w:highlight w:val="none"/>
          <w:lang w:val="zh-CN" w:eastAsia="zh-CN" w:bidi="ar-SA"/>
        </w:rPr>
        <w:t xml:space="preserve">采购人</w:t>
      </w:r>
      <w:r>
        <w:rPr>
          <w:rFonts w:ascii="宋体" w:hAnsi="宋体" w:cs="宋体"/>
          <w:color w:val="auto"/>
          <w:sz w:val="24"/>
          <w:szCs w:val="24"/>
          <w:highlight w:val="none"/>
          <w:lang w:val="zh-CN" w:eastAsia="zh-CN" w:bidi="ar-SA"/>
        </w:rPr>
        <w:t xml:space="preserve">可以</w:t>
      </w:r>
      <w:r>
        <w:rPr>
          <w:rFonts w:hint="eastAsia" w:ascii="宋体" w:hAnsi="宋体" w:cs="宋体"/>
          <w:color w:val="auto"/>
          <w:sz w:val="24"/>
          <w:szCs w:val="24"/>
          <w:highlight w:val="none"/>
          <w:lang w:val="zh-CN" w:eastAsia="zh-CN" w:bidi="ar-SA"/>
        </w:rPr>
        <w:t xml:space="preserve">重新招标，也可以</w:t>
      </w:r>
      <w:r>
        <w:rPr>
          <w:rFonts w:ascii="宋体" w:hAnsi="宋体" w:cs="宋体"/>
          <w:color w:val="auto"/>
          <w:sz w:val="24"/>
          <w:szCs w:val="24"/>
          <w:highlight w:val="none"/>
          <w:lang w:val="zh-CN" w:eastAsia="zh-CN" w:bidi="ar-SA"/>
        </w:rPr>
        <w:t xml:space="preserve">视情与排位在中标</w:t>
      </w:r>
      <w:r>
        <w:rPr>
          <w:rFonts w:hint="eastAsia" w:ascii="宋体" w:hAnsi="宋体" w:cs="宋体"/>
          <w:color w:val="auto"/>
          <w:sz w:val="24"/>
          <w:szCs w:val="24"/>
          <w:highlight w:val="none"/>
          <w:lang w:val="zh-CN" w:eastAsia="zh-CN" w:bidi="ar-SA"/>
        </w:rPr>
        <w:t xml:space="preserve">供应商</w:t>
      </w:r>
      <w:r>
        <w:rPr>
          <w:rFonts w:ascii="宋体" w:hAnsi="宋体" w:cs="宋体"/>
          <w:color w:val="auto"/>
          <w:sz w:val="24"/>
          <w:szCs w:val="24"/>
          <w:highlight w:val="none"/>
          <w:lang w:val="zh-CN" w:eastAsia="zh-CN" w:bidi="ar-SA"/>
        </w:rPr>
        <w:t xml:space="preserve">之后第一位的中标候选</w:t>
      </w:r>
      <w:r>
        <w:rPr>
          <w:rFonts w:hint="eastAsia" w:ascii="宋体" w:hAnsi="宋体" w:cs="宋体"/>
          <w:color w:val="auto"/>
          <w:sz w:val="24"/>
          <w:szCs w:val="24"/>
          <w:highlight w:val="none"/>
          <w:lang w:val="zh-CN" w:eastAsia="zh-CN" w:bidi="ar-SA"/>
        </w:rPr>
        <w:t xml:space="preserve">人</w:t>
      </w:r>
      <w:r>
        <w:rPr>
          <w:rFonts w:ascii="宋体" w:hAnsi="宋体" w:cs="宋体"/>
          <w:color w:val="auto"/>
          <w:sz w:val="24"/>
          <w:szCs w:val="24"/>
          <w:highlight w:val="none"/>
          <w:lang w:val="zh-CN" w:eastAsia="zh-CN" w:bidi="ar-SA"/>
        </w:rPr>
        <w:t xml:space="preserve">签订</w:t>
      </w:r>
      <w:r>
        <w:rPr>
          <w:rFonts w:hint="eastAsia" w:ascii="宋体" w:hAnsi="宋体" w:cs="宋体"/>
          <w:color w:val="auto"/>
          <w:sz w:val="24"/>
          <w:szCs w:val="24"/>
          <w:highlight w:val="none"/>
          <w:lang w:val="zh-CN" w:eastAsia="zh-CN" w:bidi="ar-SA"/>
        </w:rPr>
        <w:t xml:space="preserve">采购</w:t>
      </w:r>
      <w:r>
        <w:rPr>
          <w:rFonts w:ascii="宋体" w:hAnsi="宋体" w:cs="宋体"/>
          <w:color w:val="auto"/>
          <w:sz w:val="24"/>
          <w:szCs w:val="24"/>
          <w:highlight w:val="none"/>
          <w:lang w:val="zh-CN" w:eastAsia="zh-CN" w:bidi="ar-SA"/>
        </w:rPr>
        <w:t xml:space="preserve">合同</w:t>
      </w:r>
      <w:r>
        <w:rPr>
          <w:rFonts w:hint="eastAsia" w:ascii="宋体" w:hAnsi="宋体" w:cs="宋体"/>
          <w:color w:val="auto"/>
          <w:sz w:val="24"/>
          <w:szCs w:val="24"/>
          <w:highlight w:val="none"/>
          <w:lang w:val="en-US" w:eastAsia="zh-CN" w:bidi="ar-SA"/>
        </w:rPr>
        <w:t xml:space="preserve">。</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26.6 采购人与中标人应当根据合同的约定依法履行合同义务。</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七、质疑和投诉</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27、质疑</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 w:val="24"/>
          <w:szCs w:val="24"/>
          <w:highlight w:val="none"/>
          <w:lang w:val="en-US" w:eastAsia="zh-CN" w:bidi="ar-SA"/>
        </w:rPr>
        <w:t xml:space="preserve">。</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以联合体形式参加政府采购活动的，其质疑应当由组成联合体的所有供应商共同提出。</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firstLine="422"/>
        <w:spacing w:line="360" w:lineRule="auto"/>
        <w:shd w:val="clear" w:color="auto" w:fill="ffffff"/>
        <w:widowControl w:val="off"/>
        <w:rPr>
          <w:rFonts w:hint="eastAsia" w:ascii="宋体" w:hAnsi="宋体" w:cs="宋体"/>
          <w:b/>
          <w:bCs/>
          <w:color w:val="auto"/>
          <w:sz w:val="24"/>
          <w:szCs w:val="24"/>
          <w:highlight w:val="none"/>
          <w:lang w:val="en-US" w:eastAsia="zh-CN" w:bidi="ar-SA"/>
        </w:rPr>
      </w:pPr>
      <w:r>
        <w:rPr>
          <w:rFonts w:hint="eastAsia" w:ascii="宋体" w:hAnsi="宋体" w:cs="宋体"/>
          <w:b/>
          <w:bCs/>
          <w:color w:val="auto"/>
          <w:sz w:val="24"/>
          <w:szCs w:val="32"/>
          <w:highlight w:val="none"/>
          <w:lang w:val="en-US" w:eastAsia="zh-CN" w:bidi="ar-SA"/>
        </w:rPr>
        <w:t xml:space="preserve">供应商必须在法定质疑期内一次性提出针对同一采购程序环节的质疑。</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27.4 供应商提出质疑应当提交质疑函和必要的证明材料。质疑函应当包括下列内容：</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（一）供应商的姓名或者名称、地址、邮编、联系人及联系电话；</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（二）质疑项目的名称、编号；</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（三）具体、明确的质疑事项和与质疑事项相关的请求（具体条款）；</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（四）事实依据（具体条款）；</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（五）必要的法律依据（具体条款）；</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（六）提出质疑的日期。</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质疑函应当使用中文。相关当事人提供外文书证或者外国语视听资料的，应当附有中文译本，由翻译机构电子公章或者翻译人员签名。</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27.7采购代理机构在收到投标人的书面质疑后将及时组织调查核实，在</w:t>
      </w:r>
      <w:r>
        <w:rPr>
          <w:rFonts w:hint="eastAsia" w:ascii="宋体" w:hAnsi="宋体" w:cs="宋体"/>
          <w:b/>
          <w:bCs/>
          <w:color w:val="auto"/>
          <w:sz w:val="24"/>
          <w:szCs w:val="24"/>
          <w:highlight w:val="none"/>
          <w:lang w:val="en-US" w:eastAsia="zh-CN" w:bidi="ar-SA"/>
        </w:rPr>
        <w:t xml:space="preserve">七个工作日内</w:t>
      </w:r>
      <w:r>
        <w:rPr>
          <w:rFonts w:hint="eastAsia" w:ascii="宋体" w:hAnsi="宋体" w:cs="宋体"/>
          <w:color w:val="auto"/>
          <w:sz w:val="24"/>
          <w:szCs w:val="24"/>
          <w:highlight w:val="none"/>
          <w:lang w:val="en-US" w:eastAsia="zh-CN" w:bidi="ar-SA"/>
        </w:rPr>
        <w:t xml:space="preserve">作出答复，并以书面或在网站公告形式通知质疑投标人和其他有关投标人，答复的内容不涉及商业秘密。</w:t>
      </w:r>
      <w:r/>
    </w:p>
    <w:p>
      <w:pPr>
        <w:ind w:firstLine="422"/>
        <w:spacing w:line="360" w:lineRule="auto"/>
        <w:shd w:val="clear" w:color="auto" w:fill="ffffff"/>
        <w:widowControl w:val="off"/>
        <w:rPr>
          <w:rFonts w:hint="eastAsia" w:ascii="宋体" w:hAnsi="宋体" w:cs="宋体"/>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28、投诉</w:t>
      </w:r>
      <w:r/>
    </w:p>
    <w:p>
      <w:pPr>
        <w:ind w:firstLine="420"/>
        <w:spacing w:line="360" w:lineRule="auto"/>
        <w:widowControl w:val="off"/>
        <w:rPr>
          <w:rFonts w:hint="eastAsia" w:ascii="宋体" w:hAnsi="宋体" w:cs="宋体"/>
          <w:color w:val="auto"/>
          <w:sz w:val="24"/>
          <w:szCs w:val="32"/>
          <w:highlight w:val="none"/>
          <w:lang w:val="en-US" w:eastAsia="zh-CN" w:bidi="ar-SA"/>
        </w:rPr>
      </w:pPr>
      <w:r>
        <w:rPr>
          <w:rFonts w:hint="eastAsia" w:ascii="宋体" w:hAnsi="宋体" w:cs="宋体"/>
          <w:color w:val="auto"/>
          <w:sz w:val="24"/>
          <w:szCs w:val="32"/>
          <w:highlight w:val="none"/>
          <w:lang w:val="en-US" w:eastAsia="zh-CN" w:bidi="ar-SA"/>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widowControl w:val="off"/>
        <w:rPr>
          <w:rFonts w:hint="eastAsia" w:ascii="宋体" w:hAnsi="宋体" w:cs="宋体"/>
          <w:color w:val="auto"/>
          <w:sz w:val="24"/>
          <w:szCs w:val="32"/>
          <w:highlight w:val="none"/>
          <w:lang w:val="en-US" w:eastAsia="zh-CN" w:bidi="ar-SA"/>
        </w:rPr>
      </w:pPr>
      <w:r>
        <w:rPr>
          <w:rFonts w:hint="eastAsia" w:ascii="宋体" w:hAnsi="宋体" w:cs="宋体"/>
          <w:color w:val="auto"/>
          <w:sz w:val="24"/>
          <w:szCs w:val="24"/>
          <w:highlight w:val="none"/>
          <w:lang w:val="en-US" w:eastAsia="zh-CN" w:bidi="ar-SA"/>
        </w:rPr>
        <w:t xml:space="preserve">28.2供应商投诉应当有明确的请求和必要的证明材料。供应商投诉的事项不得超出已质疑事项的范围。</w:t>
      </w:r>
      <w:r/>
    </w:p>
    <w:p>
      <w:pPr>
        <w:ind w:firstLine="420"/>
        <w:spacing w:line="360" w:lineRule="auto"/>
        <w:widowControl w:val="off"/>
        <w:rPr>
          <w:rFonts w:hint="eastAsia" w:ascii="宋体" w:hAnsi="宋体" w:cs="宋体"/>
          <w:color w:val="auto"/>
          <w:sz w:val="24"/>
          <w:szCs w:val="32"/>
          <w:highlight w:val="none"/>
          <w:lang w:val="en-US" w:eastAsia="zh-CN" w:bidi="ar-SA"/>
        </w:rPr>
      </w:pPr>
      <w:r>
        <w:rPr>
          <w:rFonts w:hint="eastAsia" w:ascii="宋体" w:hAnsi="宋体" w:cs="宋体"/>
          <w:color w:val="auto"/>
          <w:sz w:val="24"/>
          <w:szCs w:val="24"/>
          <w:highlight w:val="none"/>
          <w:lang w:val="en-US" w:eastAsia="zh-CN" w:bidi="ar-SA"/>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32"/>
          <w:highlight w:val="none"/>
          <w:lang w:val="en-US" w:eastAsia="zh-CN" w:bidi="ar-SA"/>
        </w:rPr>
        <w:t xml:space="preserve">28.4 投诉人有下列行为之一的，属于严重失信行为，</w:t>
      </w:r>
      <w:r>
        <w:rPr>
          <w:rFonts w:hint="eastAsia" w:ascii="宋体" w:hAnsi="宋体" w:cs="宋体"/>
          <w:color w:val="auto"/>
          <w:sz w:val="24"/>
          <w:szCs w:val="24"/>
          <w:highlight w:val="none"/>
          <w:lang w:val="en-US" w:eastAsia="zh-CN" w:bidi="ar-SA"/>
        </w:rPr>
        <w:t xml:space="preserve">由财政部门列入不良行为记录名单，禁止其一至三年内参加政府采购活动。</w:t>
      </w:r>
      <w:r/>
    </w:p>
    <w:p>
      <w:pPr>
        <w:ind w:firstLine="420"/>
        <w:spacing w:line="360" w:lineRule="auto"/>
        <w:widowControl w:val="off"/>
        <w:rPr>
          <w:rFonts w:hint="eastAsia" w:ascii="宋体" w:hAnsi="宋体" w:cs="宋体"/>
          <w:color w:val="auto"/>
          <w:sz w:val="24"/>
          <w:szCs w:val="32"/>
          <w:highlight w:val="none"/>
          <w:lang w:val="en-US" w:eastAsia="zh-CN" w:bidi="ar-SA"/>
        </w:rPr>
      </w:pPr>
      <w:r>
        <w:rPr>
          <w:rFonts w:hint="eastAsia" w:ascii="宋体" w:hAnsi="宋体" w:cs="宋体"/>
          <w:color w:val="auto"/>
          <w:sz w:val="24"/>
          <w:szCs w:val="32"/>
          <w:highlight w:val="none"/>
          <w:lang w:val="en-US" w:eastAsia="zh-CN" w:bidi="ar-SA"/>
        </w:rPr>
        <w:t xml:space="preserve">（1）投诉人在全国范围12个月内三次以上投诉查无实据的；</w:t>
      </w:r>
      <w:r/>
    </w:p>
    <w:p>
      <w:pPr>
        <w:ind w:firstLine="420"/>
        <w:spacing w:line="360" w:lineRule="auto"/>
        <w:widowControl w:val="off"/>
        <w:rPr>
          <w:rFonts w:hint="eastAsia" w:ascii="宋体" w:hAnsi="宋体" w:cs="宋体"/>
          <w:color w:val="auto"/>
          <w:sz w:val="24"/>
          <w:szCs w:val="32"/>
          <w:highlight w:val="none"/>
          <w:lang w:val="en-US" w:eastAsia="zh-CN" w:bidi="ar-SA"/>
        </w:rPr>
      </w:pPr>
      <w:r>
        <w:rPr>
          <w:rFonts w:hint="eastAsia" w:ascii="宋体" w:hAnsi="宋体" w:cs="宋体"/>
          <w:color w:val="auto"/>
          <w:sz w:val="24"/>
          <w:szCs w:val="32"/>
          <w:highlight w:val="none"/>
          <w:lang w:val="en-US" w:eastAsia="zh-CN" w:bidi="ar-SA"/>
        </w:rPr>
        <w:t xml:space="preserve">（2）采用捏造事实、提供虚假材料或者以非法手段取得证明材料等方式进行虚假、恶意投诉。</w:t>
      </w:r>
      <w:r/>
    </w:p>
    <w:p>
      <w:pPr>
        <w:ind w:firstLine="420"/>
        <w:jc w:val="left"/>
        <w:rPr>
          <w:rFonts w:hint="eastAsia" w:ascii="宋体" w:hAnsi="宋体" w:eastAsia="宋体" w:cs="宋体"/>
          <w:color w:val="auto"/>
          <w:sz w:val="24"/>
          <w:szCs w:val="32"/>
          <w:highlight w:val="none"/>
        </w:rPr>
      </w:pPr>
      <w:r>
        <w:rPr>
          <w:rFonts w:hint="eastAsia" w:ascii="宋体" w:hAnsi="宋体" w:cs="宋体"/>
          <w:color w:val="auto"/>
          <w:sz w:val="24"/>
          <w:szCs w:val="32"/>
          <w:highlight w:val="none"/>
          <w:lang w:val="en-US" w:eastAsia="zh-CN" w:bidi="ar-SA"/>
        </w:rPr>
        <w:t xml:space="preserve">证据来源的合法性存在明显疑问，投诉人无法证明其取得方式合法的，视为以非法手段取得证明材料</w:t>
      </w:r>
      <w:r>
        <w:rPr>
          <w:rFonts w:ascii="宋体" w:hAnsi="宋体"/>
          <w:color w:val="auto"/>
          <w:sz w:val="32"/>
          <w:szCs w:val="32"/>
          <w:highlight w:val="none"/>
          <w:lang w:val="zh-CN"/>
        </w:rPr>
        <w:t xml:space="preserve">。</w:t>
      </w:r>
      <w:r/>
    </w:p>
    <w:p>
      <w:pPr>
        <w:ind w:firstLine="723"/>
        <w:jc w:val="center"/>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65" w:name="_Toc17622"/>
      <w:r/>
      <w:bookmarkStart w:id="66" w:name="_Toc12185"/>
      <w:r/>
      <w:bookmarkStart w:id="67" w:name="_Toc9400"/>
      <w:r/>
      <w:bookmarkStart w:id="68" w:name="_Toc11591"/>
      <w:r/>
      <w:bookmarkStart w:id="69" w:name="_Toc4086"/>
      <w:r/>
      <w:bookmarkStart w:id="70" w:name="_Toc22694"/>
      <w:r/>
      <w:bookmarkStart w:id="71" w:name="_Toc16492"/>
      <w:r/>
      <w:bookmarkStart w:id="72" w:name="_Toc17982"/>
      <w:r/>
      <w:bookmarkStart w:id="73" w:name="_Toc22751"/>
      <w:r/>
      <w:bookmarkStart w:id="74" w:name="_Toc22864"/>
      <w:r/>
      <w:bookmarkStart w:id="75" w:name="_Toc18972"/>
      <w:r/>
      <w:bookmarkStart w:id="76" w:name="_Toc32694"/>
      <w:r/>
      <w:bookmarkStart w:id="77" w:name="_Toc2025"/>
      <w:r/>
      <w:bookmarkStart w:id="78" w:name="_Toc116284542"/>
      <w:r/>
      <w:bookmarkStart w:id="79" w:name="_Toc17608"/>
      <w:r/>
      <w:bookmarkStart w:id="80" w:name="_Toc1451"/>
      <w:r/>
      <w:bookmarkStart w:id="81" w:name="_Toc19049"/>
      <w:r/>
      <w:bookmarkStart w:id="82" w:name="_Toc27951"/>
      <w:r/>
      <w:bookmarkStart w:id="83" w:name="_Toc4654"/>
      <w:r/>
      <w:bookmarkStart w:id="84" w:name="_Toc153441892"/>
      <w:r/>
      <w:bookmarkStart w:id="85" w:name="_Toc2217"/>
      <w:r/>
      <w:bookmarkStart w:id="86" w:name="_Toc30826"/>
      <w:r/>
      <w:bookmarkStart w:id="87" w:name="_Toc18121"/>
      <w:r/>
      <w:bookmarkStart w:id="88" w:name="_Toc14998"/>
      <w:r/>
      <w:bookmarkStart w:id="89" w:name="_Toc27641"/>
      <w:r/>
      <w:bookmarkStart w:id="90" w:name="_Toc19492"/>
      <w:r/>
      <w:bookmarkStart w:id="91" w:name="_Toc8721"/>
      <w:r/>
      <w:bookmarkStart w:id="92" w:name="_Toc8492"/>
      <w:r/>
      <w:bookmarkStart w:id="93" w:name="_Toc8878"/>
      <w:r/>
      <w:bookmarkStart w:id="94" w:name="_Toc9602"/>
      <w:r/>
      <w:bookmarkStart w:id="95" w:name="_Toc24460"/>
      <w:r>
        <w:rPr>
          <w:rFonts w:hint="eastAsia" w:ascii="宋体" w:hAnsi="宋体" w:eastAsia="宋体" w:cs="宋体"/>
          <w:b/>
          <w:color w:val="auto"/>
          <w:sz w:val="36"/>
          <w:szCs w:val="36"/>
          <w:highlight w:val="none"/>
        </w:rPr>
        <w:t xml:space="preserve">第三章 评标方法和标准</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rPr>
          <w:rFonts w:hint="eastAsia" w:ascii="宋体" w:hAnsi="宋体" w:eastAsia="宋体" w:cs="宋体"/>
          <w:color w:val="auto"/>
          <w:sz w:val="24"/>
          <w:szCs w:val="32"/>
          <w:highlight w:val="none"/>
        </w:rPr>
      </w:pPr>
      <w:r/>
      <w:bookmarkStart w:id="96" w:name="_Toc400722722"/>
      <w:r/>
      <w:bookmarkStart w:id="97" w:name="_Toc402966376"/>
      <w:r>
        <w:rPr>
          <w:rFonts w:hint="eastAsia" w:ascii="宋体" w:hAnsi="宋体" w:eastAsia="宋体" w:cs="宋体"/>
          <w:color w:val="auto"/>
          <w:sz w:val="24"/>
          <w:szCs w:val="32"/>
          <w:highlight w:val="none"/>
          <w:lang w:val="zh-CN"/>
        </w:rPr>
        <w:t xml:space="preserve">本项目采用</w:t>
      </w:r>
      <w:r>
        <w:rPr>
          <w:rFonts w:hint="eastAsia" w:ascii="宋体" w:hAnsi="宋体" w:eastAsia="宋体" w:cs="宋体"/>
          <w:b/>
          <w:bCs/>
          <w:color w:val="auto"/>
          <w:sz w:val="24"/>
          <w:szCs w:val="32"/>
          <w:highlight w:val="none"/>
          <w:lang w:val="zh-CN"/>
        </w:rPr>
        <w:t xml:space="preserve">综合评分法</w:t>
      </w:r>
      <w:r>
        <w:rPr>
          <w:rFonts w:hint="eastAsia" w:ascii="宋体" w:hAnsi="宋体" w:eastAsia="宋体" w:cs="宋体"/>
          <w:color w:val="auto"/>
          <w:sz w:val="24"/>
          <w:szCs w:val="32"/>
          <w:highlight w:val="none"/>
          <w:lang w:val="zh-CN"/>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w:t>
      </w:r>
      <w:r>
        <w:rPr>
          <w:rFonts w:hint="eastAsia" w:ascii="宋体" w:hAnsi="宋体" w:eastAsia="宋体" w:cs="宋体"/>
          <w:color w:val="auto"/>
          <w:sz w:val="24"/>
          <w:szCs w:val="32"/>
          <w:highlight w:val="none"/>
        </w:rPr>
        <w:t xml:space="preserve">。当成交供应商不能履行其义务时，由备选供应商顶替，成为新的成交供应商，也可重新组织采购。</w:t>
      </w:r>
      <w:r/>
    </w:p>
    <w:tbl>
      <w:tblPr>
        <w:tblStyle w:val="745"/>
        <w:tblW w:w="1075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816"/>
        <w:gridCol w:w="876"/>
        <w:gridCol w:w="7741"/>
      </w:tblGrid>
      <w:tr>
        <w:trPr>
          <w:jc w:val="center"/>
          <w:trHeight w:val="440"/>
        </w:trPr>
        <w:tc>
          <w:tcPr>
            <w:tcW w:w="1324"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构成分值</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774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1646"/>
        </w:trPr>
        <w:tc>
          <w:tcPr>
            <w:tcW w:w="132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投标部分</w:t>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本项目价格分采用低价优先法计算，以有效投标的最低折扣率（供应商各类食品折扣率的平均值）为评标基准折扣率，其价格分为满分。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其他供应商的价格分统一按照下列公式计算：</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投标报价得分＝（评标基准折扣率/投标折扣率）×</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（保留两位小数）</w:t>
            </w:r>
            <w:r/>
          </w:p>
          <w:p>
            <w:pPr>
              <w:pStyle w:val="800"/>
              <w:keepLines w:val="0"/>
              <w:keepNext w:val="0"/>
              <w:pageBreakBefore w:val="0"/>
              <w:spacing w:after="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备注：如所报折扣率为80%，即为按8折计取</w:t>
            </w:r>
            <w:r>
              <w:rPr>
                <w:rFonts w:hint="eastAsia" w:ascii="宋体" w:hAnsi="宋体" w:eastAsia="宋体" w:cs="宋体"/>
                <w:color w:val="auto"/>
                <w:sz w:val="24"/>
                <w:szCs w:val="24"/>
                <w:highlight w:val="none"/>
                <w:lang w:eastAsia="zh-CN"/>
              </w:rPr>
              <w:t xml:space="preserve">。</w:t>
            </w:r>
            <w:r/>
          </w:p>
        </w:tc>
      </w:tr>
      <w:tr>
        <w:trPr>
          <w:cantSplit/>
          <w:jc w:val="center"/>
          <w:trHeight w:val="2845"/>
        </w:trPr>
        <w:tc>
          <w:tcPr>
            <w:tcW w:w="1324"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分）</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质量保障办法与承诺</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根据供应商提供的针对各类食材不同质量保障办法及质量保证服务承诺进行打分：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对本项目有积极支持的态度、质量保证及服务承诺内容完整明确、且有实际的措施、具有针对性的得15分；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质量保证及服务承诺内容</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明确、针对性</w:t>
            </w:r>
            <w:r>
              <w:rPr>
                <w:rFonts w:hint="eastAsia" w:ascii="宋体" w:hAnsi="宋体" w:cs="宋体"/>
                <w:color w:val="auto"/>
                <w:sz w:val="24"/>
                <w:szCs w:val="24"/>
                <w:highlight w:val="none"/>
                <w:lang w:val="en-US" w:eastAsia="zh-CN"/>
              </w:rPr>
              <w:t xml:space="preserve">较一般</w:t>
            </w:r>
            <w:r>
              <w:rPr>
                <w:rFonts w:hint="eastAsia" w:ascii="宋体" w:hAnsi="宋体" w:eastAsia="宋体" w:cs="宋体"/>
                <w:color w:val="auto"/>
                <w:sz w:val="24"/>
                <w:szCs w:val="24"/>
                <w:highlight w:val="none"/>
              </w:rPr>
              <w:t xml:space="preserve">的得 </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质量保证及服务承诺内容基本明确、具有基本的针对性的得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质量保证及服务承诺欠明确、制度措施欠可行，缺乏针对性的得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质量保证及服务承诺不明确、制度措施未结合实际，不具有针对性的得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cantSplit/>
          <w:jc w:val="center"/>
          <w:trHeight w:val="335"/>
        </w:trPr>
        <w:tc>
          <w:tcPr>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采购渠道</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根据供应商提供的供货渠道进行打分，所供货品具有可追溯性（包含但不限于产品来源、产品品牌质量、经销资质、进货发票或合同等相关证明材料）。</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供货渠道正规，质量符合采购要求的得 10 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供货渠道基本正规，质量基本符合采购要求得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供货渠道欠正规，质量和品牌不能完全满足采购要求得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供货渠道不正规，质量无法保障的得1分；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cantSplit/>
          <w:jc w:val="center"/>
          <w:trHeight w:val="1326"/>
        </w:trPr>
        <w:tc>
          <w:tcPr>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配送方案</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根据供应商提供的配送方案进行打分，配送方案应明确配送机构地点、人员数量、仓储位置、车辆信息等内容，以体现必要的食材批量采购及配送能力，以及保证配送中食品安全与准时送达的相关工作方案。</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服务方案完整，具有可操作性、针对性的得 10 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服务方案基本完整，具有基本的可操作性和针对性的得 7 分； </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服务方案欠完整，缺乏可操作性和针对性的得 4 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服务方案不完整，不具备可操作性和针对性的得 1 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cantSplit/>
          <w:jc w:val="center"/>
          <w:trHeight w:val="990"/>
        </w:trPr>
        <w:tc>
          <w:tcPr>
            <w:tcW w:w="132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根据供应商提供的预见可能出现的各种情况（含发生恶劣天气及不可 抗拒灾害等情况），以及所采取的应急措施进行打分。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内容全面，处置措施合理可行，有针对性的得5分；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内容基本全面，处置措施基本合理可行，有基本的针对性的得3分；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内容欠全面，处置措施欠合理，缺乏针对性的得2分；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内容不全面，处置措施不合理，不具有针对性的得1分；</w:t>
            </w:r>
            <w:r/>
          </w:p>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r>
      <w:tr>
        <w:trPr>
          <w:cantSplit/>
          <w:jc w:val="center"/>
          <w:trHeight w:val="497"/>
        </w:trPr>
        <w:tc>
          <w:tcPr>
            <w:tcW w:w="1324"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应急响应</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供应商承诺具备应急服务能力，有处理紧急情况的经验，同时为保证生鲜食品的卫生安全，能够接采购人通知后30分钟内赶到项目现场得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分，60分钟内赶到项目现场得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不得分。（提供承诺书复印件加盖公章）</w:t>
            </w:r>
            <w:r/>
          </w:p>
        </w:tc>
      </w:tr>
      <w:tr>
        <w:trPr>
          <w:cantSplit/>
          <w:jc w:val="center"/>
          <w:trHeight w:val="1305"/>
        </w:trPr>
        <w:tc>
          <w:tcPr>
            <w:tcW w:w="1324"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分）</w:t>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 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 1 日至今有</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政府机关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事业单位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国有企业食堂供货业绩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有一个得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满分</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分。（注：提供合同</w:t>
            </w:r>
            <w:r>
              <w:rPr>
                <w:rFonts w:hint="eastAsia" w:ascii="宋体" w:hAnsi="宋体" w:eastAsia="宋体" w:cs="宋体"/>
                <w:color w:val="auto"/>
                <w:sz w:val="24"/>
                <w:szCs w:val="24"/>
                <w:highlight w:val="none"/>
                <w:lang w:val="en-US" w:eastAsia="zh-CN"/>
              </w:rPr>
              <w:t xml:space="preserve">及服务单位的证明</w:t>
            </w:r>
            <w:r>
              <w:rPr>
                <w:rFonts w:hint="eastAsia" w:ascii="宋体" w:hAnsi="宋体" w:eastAsia="宋体" w:cs="宋体"/>
                <w:color w:val="auto"/>
                <w:sz w:val="24"/>
                <w:szCs w:val="24"/>
                <w:highlight w:val="none"/>
              </w:rPr>
              <w:t xml:space="preserve">复印件并加盖供应商公章，合同应能反映相关信息，时间以合同签订时间为准，续签合同不重复计算业绩。）</w:t>
            </w:r>
            <w:r/>
          </w:p>
        </w:tc>
      </w:tr>
      <w:tr>
        <w:trPr>
          <w:cantSplit/>
          <w:jc w:val="center"/>
          <w:trHeight w:val="497"/>
        </w:trPr>
        <w:tc>
          <w:tcPr>
            <w:tcW w:w="1324"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人员</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741" w:type="dxa"/>
            <w:vAlign w:val="center"/>
            <w:textDirection w:val="lrTb"/>
            <w:noWrap w:val="false"/>
          </w:tcPr>
          <w:p>
            <w:pPr>
              <w:jc w:val="left"/>
              <w:keepLines w:val="0"/>
              <w:keepNext w:val="0"/>
              <w:pageBreakBefore w:val="0"/>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提供的项目经理具有食品安全总监证的得3分，</w:t>
            </w:r>
            <w:r>
              <w:rPr>
                <w:rFonts w:hint="eastAsia" w:ascii="宋体" w:hAnsi="宋体" w:eastAsia="宋体" w:cs="宋体"/>
                <w:color w:val="auto"/>
                <w:sz w:val="24"/>
                <w:szCs w:val="24"/>
                <w:highlight w:val="none"/>
                <w:lang w:val="en-US" w:eastAsia="zh-CN"/>
              </w:rPr>
              <w:t xml:space="preserve">提供有效的食品安全总监证书复印件加盖公章。</w:t>
            </w:r>
            <w:r/>
          </w:p>
          <w:p>
            <w:pPr>
              <w:jc w:val="left"/>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提供食品安全管理人员1名得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分，提供有效的食品安全管理员证书复印件加盖公章。</w:t>
            </w:r>
            <w:r/>
          </w:p>
          <w:p>
            <w:pPr>
              <w:pStyle w:val="759"/>
              <w:ind w:left="0" w:firstLine="0"/>
              <w:jc w:val="left"/>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提供食品质检人员1名得1.5分，提供有效的食品质检员证书复印件加盖公章。</w:t>
            </w:r>
            <w:r/>
          </w:p>
          <w:p>
            <w:pPr>
              <w:pStyle w:val="759"/>
              <w:ind w:left="0" w:firstLine="0"/>
              <w:jc w:val="left"/>
              <w:keepLines w:val="0"/>
              <w:keepNext w:val="0"/>
              <w:pageBreakBefore w:val="0"/>
              <w:spacing w:line="3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以上人员不可兼得，均需提供近半年（2025年5月至2025年10月）供应商为其缴纳的社会保险金缴纳清单；（须加盖社保中心章或社保中心参保缴费证明电子专用章）</w:t>
            </w:r>
            <w:r/>
          </w:p>
        </w:tc>
      </w:tr>
      <w:tr>
        <w:trPr>
          <w:cantSplit/>
          <w:jc w:val="center"/>
          <w:trHeight w:val="669"/>
        </w:trPr>
        <w:tc>
          <w:tcPr>
            <w:tcW w:w="1324"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食品安全保险</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提供近两年有效的食品安全保险合同及发票的得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分，不提供不得分。（提供近两年合同及发票复印件并加盖供应商公章）</w:t>
            </w:r>
            <w:r/>
          </w:p>
        </w:tc>
      </w:tr>
      <w:tr>
        <w:trPr>
          <w:cantSplit/>
          <w:jc w:val="center"/>
          <w:trHeight w:val="669"/>
        </w:trPr>
        <w:tc>
          <w:tcPr>
            <w:tcW w:w="1324"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基础设备</w:t>
            </w:r>
            <w:r/>
          </w:p>
        </w:tc>
        <w:tc>
          <w:tcPr>
            <w:tcW w:w="876" w:type="dxa"/>
            <w:vAlign w:val="center"/>
            <w:textDirection w:val="lrTb"/>
            <w:noWrap w:val="false"/>
          </w:tcPr>
          <w:p>
            <w:pPr>
              <w:jc w:val="center"/>
              <w:keepLines w:val="0"/>
              <w:keepNext w:val="0"/>
              <w:pageBreakBefore w:val="0"/>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7741" w:type="dxa"/>
            <w:vAlign w:val="center"/>
            <w:textDirection w:val="lrTb"/>
            <w:noWrap w:val="false"/>
          </w:tcPr>
          <w:p>
            <w:pPr>
              <w:keepLines w:val="0"/>
              <w:keepNext w:val="0"/>
              <w:pageBreakBefore w:val="0"/>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投标人自有冷藏车2辆及以上的得3分，最高得3分。（需提供车辆发票、机动车行驶证复印件及以车辆一致性证书并加盖投标人公章。）</w:t>
            </w:r>
            <w:r/>
          </w:p>
        </w:tc>
      </w:tr>
      <w:tr>
        <w:trPr>
          <w:cantSplit/>
          <w:jc w:val="center"/>
          <w:trHeight w:val="669"/>
        </w:trPr>
        <w:tc>
          <w:tcPr>
            <w:tcW w:w="1324"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体系证书</w:t>
            </w:r>
            <w:r/>
          </w:p>
        </w:tc>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741"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具有质量管理体系认证证书、环境管理体系认证证书、职业健康安全管理体系认证证书、食品安全管理体系认证证书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供应链安全管理体系认证</w:t>
            </w:r>
            <w:r>
              <w:rPr>
                <w:rFonts w:hint="eastAsia" w:ascii="宋体" w:hAnsi="宋体" w:eastAsia="宋体" w:cs="宋体"/>
                <w:color w:val="auto"/>
                <w:sz w:val="24"/>
                <w:szCs w:val="24"/>
                <w:highlight w:val="none"/>
              </w:rPr>
              <w:t xml:space="preserve">的，且在有效期内的，每有一项得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分，没有不得分。（提供有效的证书复印件并加盖公章）</w:t>
            </w:r>
            <w:r/>
          </w:p>
        </w:tc>
      </w:tr>
      <w:tr>
        <w:trPr>
          <w:jc w:val="center"/>
          <w:trHeight w:val="280"/>
        </w:trPr>
        <w:tc>
          <w:tcPr>
            <w:gridSpan w:val="2"/>
            <w:tcW w:w="214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满分</w:t>
            </w:r>
            <w:r/>
          </w:p>
        </w:tc>
        <w:tc>
          <w:tcPr>
            <w:gridSpan w:val="2"/>
            <w:tcW w:w="8617"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r>
    </w:tbl>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1、实质性要求不得负偏离；否则，按照无效投标处理。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2、对国家认定的节能产品和环保产品分别给予投标价的 5%价格扣除，用扣除后的价格参与评审（特别说明：节能、环保产品 必须纳入“中国政府采购网”等官方网站“节能、环保产品查询系统”，且以提供的证书扫描件为准）。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3、小微企业的价格扣除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3.1．对小微企业提供的最终服务报价给予10%价格扣除，用扣除后的价格参与评审。</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大中型企业和其他自然人、法人或者其他组织与小型、微型企业（监狱企业、残疾人福利单位）组成联合体共同参加</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如果联合协议中约定，小型、微型企业（监狱企业、残疾人福利单位）的协议合同金额占到联合体协议合同总金额30%以上的，给予联合体4%的价格扣除。联合体各方均为中小型、微型企业（监狱企业、残疾人福利单位）的，联合体视同为小型、微型企业享受10%价格扣除，用扣除后的价格参与评审。</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 小企业（含小型、微型企业）应当同时符合以下条件：</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（1）供应商为小企业，且符合中小企业划分标准；</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（2）提供本企业制造的货物、承担的工程或者服务，或者提供其他小企业制造的货物。如果提供的货物为大中型企业注册商标的货物，视同大中型企业。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4、监狱和戒毒企业的价格扣除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4.1.对监狱和戒毒企业（简称监狱企业）视同小型、微型企业提供的最终服务报价给予10%的价格扣除，用扣除后的价格参与评审。</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4.2.监狱企业需提供由省级以上监狱管理局、戒毒管理局（含新疆生产建设兵团）出具的属于监狱企业的证明文件。</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4.3.监狱企业标准请参照《关于政府采购支持监狱企业发展有关问题的通知》（财库[2014]68号）。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5、残疾人福利性单位的价格扣除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5.1.对残疾人福利性单位视同小型、微型企业提供的最终服务报价给予10%的价格扣除，用扣除后的价格参与评审。</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5.2.残疾人福利单位需按照采购文件的要求提供《残疾人福利性单位声明函》。</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5.3.残疾人福利单位标准请参照《关于促进残疾人就业政府采购政策的通知》（财库〔2017〕141号）。 </w:t>
      </w:r>
      <w:r/>
    </w:p>
    <w:p>
      <w:pPr>
        <w:ind w:firstLine="41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6、监狱企业、残疾人福利单位属于小型、微型企业的，不重复享受政策。 </w:t>
      </w:r>
      <w:r/>
    </w:p>
    <w:p>
      <w:pPr>
        <w:pStyle w:val="759"/>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7、所有认证、证明和业绩均以有效的证明文件复印件加盖公章为准。</w:t>
      </w:r>
      <w:r/>
    </w:p>
    <w:p>
      <w:pPr>
        <w:pStyle w:val="759"/>
        <w:ind w:left="0" w:firstLine="480"/>
        <w:rPr>
          <w:rFonts w:hint="default" w:eastAsia="宋体"/>
          <w:color w:val="auto"/>
          <w:sz w:val="24"/>
          <w:szCs w:val="32"/>
          <w:highlight w:val="none"/>
          <w:lang w:val="en-US" w:eastAsia="zh-CN"/>
        </w:rPr>
      </w:pPr>
      <w:r>
        <w:rPr>
          <w:rFonts w:hint="eastAsia" w:ascii="宋体" w:hAnsi="宋体" w:cs="宋体"/>
          <w:bCs/>
          <w:color w:val="auto"/>
          <w:sz w:val="24"/>
          <w:szCs w:val="24"/>
          <w:highlight w:val="none"/>
          <w:lang w:val="en-US" w:eastAsia="zh-CN"/>
        </w:rPr>
        <w:t xml:space="preserve">8、评审结果保留两位小数</w:t>
      </w:r>
      <w:r/>
    </w:p>
    <w:p>
      <w:pPr>
        <w:ind w:firstLine="41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3"/>
        <w:jc w:val="center"/>
        <w:rPr>
          <w:rFonts w:hint="eastAsia" w:ascii="宋体" w:hAnsi="宋体" w:eastAsia="宋体" w:cs="宋体"/>
          <w:b/>
          <w:color w:val="auto"/>
          <w:sz w:val="18"/>
          <w:szCs w:val="18"/>
          <w:highlight w:val="none"/>
        </w:rPr>
        <w:outlineLvl w:val="0"/>
      </w:pPr>
      <w:r>
        <w:rPr>
          <w:rFonts w:hint="eastAsia" w:ascii="宋体" w:hAnsi="宋体" w:eastAsia="宋体" w:cs="宋体"/>
          <w:b/>
          <w:color w:val="auto"/>
          <w:sz w:val="40"/>
          <w:szCs w:val="40"/>
          <w:highlight w:val="none"/>
        </w:rPr>
        <w:br w:type="page" w:clear="all"/>
      </w:r>
      <w:bookmarkStart w:id="98" w:name="_Toc30100"/>
      <w:r/>
      <w:bookmarkStart w:id="99" w:name="_Toc8896"/>
      <w:r/>
      <w:bookmarkStart w:id="100" w:name="_Toc7015"/>
      <w:r/>
      <w:bookmarkStart w:id="101" w:name="_Toc6323"/>
      <w:r/>
      <w:bookmarkStart w:id="102" w:name="_Toc14784"/>
      <w:r/>
      <w:bookmarkStart w:id="103" w:name="_Toc15960"/>
      <w:r/>
      <w:bookmarkStart w:id="104" w:name="_Toc28538"/>
      <w:r/>
      <w:bookmarkStart w:id="105" w:name="_Toc7409"/>
      <w:r/>
      <w:bookmarkStart w:id="106" w:name="_Toc23564"/>
      <w:r/>
      <w:bookmarkStart w:id="107" w:name="_Toc31920"/>
      <w:r/>
      <w:bookmarkStart w:id="108" w:name="_Toc25129"/>
      <w:r/>
      <w:bookmarkStart w:id="109" w:name="_Toc19623"/>
      <w:r/>
      <w:bookmarkStart w:id="110" w:name="_Toc29274"/>
      <w:r/>
      <w:bookmarkStart w:id="111" w:name="_Toc116284543"/>
      <w:r/>
      <w:bookmarkStart w:id="112" w:name="_Toc23582"/>
      <w:r/>
      <w:bookmarkStart w:id="113" w:name="_Toc20577"/>
      <w:r/>
      <w:bookmarkStart w:id="114" w:name="_Toc23054"/>
      <w:r/>
      <w:bookmarkStart w:id="115" w:name="_Toc1140"/>
      <w:r/>
      <w:bookmarkStart w:id="116" w:name="_Toc1750"/>
      <w:r/>
      <w:bookmarkStart w:id="117" w:name="_Toc20320"/>
      <w:r/>
      <w:bookmarkStart w:id="118" w:name="_Toc8679"/>
      <w:r/>
      <w:bookmarkStart w:id="119" w:name="_Toc11707"/>
      <w:r/>
      <w:bookmarkStart w:id="120" w:name="_Toc22351"/>
      <w:r/>
      <w:bookmarkStart w:id="121" w:name="_Toc25412"/>
      <w:r/>
      <w:bookmarkStart w:id="122" w:name="_Toc4769"/>
      <w:r/>
      <w:bookmarkStart w:id="123" w:name="_Toc16210"/>
      <w:r/>
      <w:bookmarkStart w:id="124" w:name="_Toc706"/>
      <w:r/>
      <w:bookmarkStart w:id="125" w:name="_Toc153441893"/>
      <w:r/>
      <w:bookmarkStart w:id="126" w:name="_Toc11560"/>
      <w:r/>
      <w:bookmarkStart w:id="127" w:name="_Toc5985"/>
      <w:r/>
      <w:bookmarkStart w:id="128" w:name="_Toc29121"/>
      <w:r>
        <w:rPr>
          <w:rFonts w:hint="eastAsia" w:ascii="宋体" w:hAnsi="宋体" w:eastAsia="宋体" w:cs="宋体"/>
          <w:b/>
          <w:color w:val="auto"/>
          <w:sz w:val="40"/>
          <w:szCs w:val="40"/>
          <w:highlight w:val="none"/>
        </w:rPr>
        <w:t xml:space="preserve">第四章 招标项目说明及技术要求</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96"/>
      <w:r/>
      <w:bookmarkEnd w:id="97"/>
      <w:r/>
      <w:r/>
    </w:p>
    <w:p>
      <w:pPr>
        <w:ind w:firstLine="241"/>
        <w:spacing w:line="360" w:lineRule="auto"/>
        <w:rPr>
          <w:rFonts w:hint="eastAsia" w:ascii="宋体" w:hAnsi="宋体" w:cs="宋体"/>
          <w:b/>
          <w:bCs/>
          <w:color w:val="auto"/>
          <w:sz w:val="24"/>
          <w:highlight w:val="none"/>
        </w:rPr>
      </w:pPr>
      <w:r/>
      <w:bookmarkStart w:id="129" w:name="_Toc9048"/>
      <w:r/>
      <w:bookmarkStart w:id="130" w:name="_Toc8497"/>
      <w:r/>
      <w:bookmarkStart w:id="131" w:name="_Toc398298171"/>
      <w:r/>
      <w:bookmarkStart w:id="132" w:name="_Toc20916"/>
      <w:r/>
      <w:bookmarkStart w:id="133" w:name="_Toc11199"/>
      <w:r/>
      <w:bookmarkStart w:id="134" w:name="_Toc27365"/>
      <w:r/>
      <w:bookmarkStart w:id="135" w:name="_Toc377632915"/>
      <w:r/>
      <w:bookmarkStart w:id="136" w:name="_Toc23646"/>
      <w:r/>
      <w:bookmarkStart w:id="137" w:name="_Toc482108468"/>
      <w:r/>
      <w:bookmarkStart w:id="138" w:name="_Toc18488"/>
      <w:r/>
      <w:bookmarkStart w:id="139" w:name="_Toc455956317"/>
      <w:r/>
      <w:bookmarkStart w:id="140" w:name="_Toc2415"/>
      <w:r/>
      <w:bookmarkStart w:id="141" w:name="_Toc17656"/>
      <w:r/>
      <w:bookmarkStart w:id="142" w:name="_Toc21091"/>
      <w:r/>
      <w:bookmarkStart w:id="143" w:name="_Toc488080258"/>
      <w:r/>
      <w:bookmarkStart w:id="144" w:name="_Toc941"/>
      <w:r/>
      <w:bookmarkStart w:id="145" w:name="_Toc8432"/>
      <w:r/>
      <w:bookmarkStart w:id="146" w:name="_Toc29425"/>
      <w:r/>
      <w:bookmarkStart w:id="147" w:name="_Toc26417"/>
      <w:r/>
      <w:bookmarkStart w:id="148" w:name="_Toc1516"/>
      <w:r/>
      <w:bookmarkStart w:id="149" w:name="_Toc461864501"/>
      <w:r/>
      <w:bookmarkStart w:id="150" w:name="_Toc4803"/>
      <w:r/>
      <w:bookmarkStart w:id="151" w:name="_Toc505073760"/>
      <w:r/>
      <w:bookmarkStart w:id="152" w:name="_Toc20460"/>
      <w:r/>
      <w:bookmarkStart w:id="153" w:name="_Toc28990"/>
      <w:r/>
      <w:bookmarkStart w:id="154" w:name="_Toc15168"/>
      <w:r/>
      <w:bookmarkStart w:id="155" w:name="_Toc490215485"/>
      <w:r/>
      <w:bookmarkStart w:id="156" w:name="_Toc16539"/>
      <w:r/>
      <w:bookmarkStart w:id="157" w:name="_Toc31082"/>
      <w:r/>
      <w:bookmarkStart w:id="158" w:name="_Toc490215483"/>
      <w:r/>
      <w:bookmarkStart w:id="159" w:name="_Toc22626"/>
      <w:r/>
      <w:bookmarkStart w:id="160" w:name="_Toc488868476"/>
      <w:r/>
      <w:bookmarkStart w:id="161" w:name="_Toc489515643"/>
      <w:r/>
      <w:bookmarkStart w:id="162" w:name="_Toc8180"/>
      <w:r/>
      <w:bookmarkStart w:id="163" w:name="_Toc514415673"/>
      <w:r/>
      <w:bookmarkStart w:id="164" w:name="_Toc354071453"/>
      <w:r/>
      <w:bookmarkStart w:id="165" w:name="_Toc18542"/>
      <w:r/>
      <w:bookmarkStart w:id="166" w:name="_Toc14271"/>
      <w:r/>
      <w:bookmarkStart w:id="167" w:name="_Toc519115107"/>
      <w:r/>
      <w:bookmarkStart w:id="168" w:name="_Toc2111"/>
      <w:r>
        <w:rPr>
          <w:rFonts w:hint="eastAsia" w:ascii="宋体" w:hAnsi="宋体" w:cs="宋体"/>
          <w:b/>
          <w:bCs/>
          <w:color w:val="auto"/>
          <w:sz w:val="24"/>
          <w:highlight w:val="none"/>
        </w:rPr>
        <w:t xml:space="preserve"> 一、项目基本情况</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（一）项目名称：</w:t>
      </w:r>
      <w:r>
        <w:rPr>
          <w:rFonts w:hint="eastAsia" w:ascii="宋体" w:hAnsi="宋体" w:cs="宋体"/>
          <w:color w:val="auto"/>
          <w:sz w:val="24"/>
          <w:highlight w:val="none"/>
          <w:lang w:eastAsia="zh-CN"/>
        </w:rPr>
        <w:t xml:space="preserve">2026年度南京市公安局高淳分局食堂食材采购</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（二）招标内容：食堂食材供应及配送服务，包括水产、肉类、家禽（蛋）</w:t>
      </w:r>
      <w:r>
        <w:rPr>
          <w:rFonts w:hint="eastAsia" w:ascii="宋体" w:hAnsi="宋体" w:cs="宋体"/>
          <w:color w:val="auto"/>
          <w:sz w:val="24"/>
          <w:highlight w:val="none"/>
          <w:lang w:eastAsia="zh-CN"/>
        </w:rPr>
        <w:t xml:space="preserve">、冷冻制品、蔬菜类、豆制品、粮油及其他类</w:t>
      </w:r>
      <w:r>
        <w:rPr>
          <w:rFonts w:hint="eastAsia" w:ascii="宋体" w:hAnsi="宋体" w:cs="宋体"/>
          <w:color w:val="auto"/>
          <w:sz w:val="24"/>
          <w:highlight w:val="none"/>
        </w:rPr>
        <w:t xml:space="preserve">等相关类</w:t>
      </w:r>
      <w:r>
        <w:rPr>
          <w:rFonts w:hint="eastAsia" w:ascii="宋体" w:hAnsi="宋体" w:cs="宋体"/>
          <w:color w:val="auto"/>
          <w:sz w:val="24"/>
          <w:highlight w:val="none"/>
          <w:lang w:val="en-US" w:eastAsia="zh-CN"/>
        </w:rPr>
        <w:t xml:space="preserve">食材，所有食材必须安全、卫生、无毒、无害，符合食品卫生质量要求</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（三）配送地点：南京市公安局高淳分局。</w:t>
      </w:r>
      <w:r/>
    </w:p>
    <w:p>
      <w:pPr>
        <w:ind w:firstLine="480"/>
        <w:spacing w:line="360" w:lineRule="auto"/>
        <w:rPr>
          <w:rFonts w:ascii="宋体" w:hAnsi="宋体" w:cs="宋体"/>
          <w:color w:val="auto"/>
          <w:spacing w:val="8"/>
          <w:sz w:val="24"/>
          <w:highlight w:val="none"/>
        </w:rPr>
      </w:pPr>
      <w:r>
        <w:rPr>
          <w:rFonts w:hint="eastAsia" w:ascii="宋体" w:hAnsi="宋体" w:cs="宋体"/>
          <w:color w:val="auto"/>
          <w:spacing w:val="8"/>
          <w:sz w:val="24"/>
          <w:highlight w:val="none"/>
        </w:rPr>
        <w:t xml:space="preserve">（四）就餐情况：</w:t>
      </w:r>
      <w:r>
        <w:rPr>
          <w:rFonts w:hint="eastAsia" w:ascii="宋体" w:hAnsi="宋体" w:cs="宋体"/>
          <w:color w:val="auto"/>
          <w:spacing w:val="8"/>
          <w:sz w:val="24"/>
          <w:highlight w:val="none"/>
          <w:lang w:val="en-US" w:eastAsia="zh-CN"/>
        </w:rPr>
        <w:t xml:space="preserve">用餐人数大概早餐160人左右，午餐160人左右，晚餐30人左右，主要为采购人的工作人员用餐</w:t>
      </w:r>
      <w:r>
        <w:rPr>
          <w:rFonts w:hint="eastAsia" w:ascii="宋体" w:hAnsi="宋体" w:cs="宋体"/>
          <w:color w:val="auto"/>
          <w:spacing w:val="8"/>
          <w:sz w:val="24"/>
          <w:highlight w:val="none"/>
        </w:rPr>
        <w:t xml:space="preserve">。</w:t>
      </w:r>
      <w:r/>
    </w:p>
    <w:p>
      <w:pPr>
        <w:ind w:firstLine="241"/>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二、采购品种</w:t>
      </w:r>
      <w:r>
        <w:rPr>
          <w:rFonts w:hint="eastAsia" w:ascii="宋体" w:hAnsi="宋体" w:cs="宋体"/>
          <w:color w:val="auto"/>
          <w:sz w:val="24"/>
          <w:highlight w:val="none"/>
        </w:rPr>
        <w:t xml:space="preserve">（包含但不限于，方便日后扩展采购）</w:t>
      </w:r>
      <w:r/>
    </w:p>
    <w:tbl>
      <w:tblPr>
        <w:tblStyle w:val="745"/>
        <w:tblW w:w="4807" w:type="pct"/>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1"/>
        <w:gridCol w:w="7262"/>
      </w:tblGrid>
      <w:tr>
        <w:trPr/>
        <w:tc>
          <w:tcPr>
            <w:tcW w:w="1254" w:type="pct"/>
            <w:vAlign w:val="center"/>
            <w:textDirection w:val="lrTb"/>
            <w:noWrap w:val="false"/>
          </w:tcPr>
          <w:p>
            <w:pPr>
              <w:jc w:val="cente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品类（包含以下但不限于，方便日后扩展采购）</w:t>
            </w:r>
            <w:r/>
          </w:p>
        </w:tc>
        <w:tc>
          <w:tcPr>
            <w:tcW w:w="3745" w:type="pct"/>
            <w:vAlign w:val="center"/>
            <w:textDirection w:val="lrTb"/>
            <w:noWrap w:val="false"/>
          </w:tcPr>
          <w:p>
            <w:pPr>
              <w:jc w:val="cente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品种（包含以下但不限于，方便日后扩展采购）</w:t>
            </w:r>
            <w:r/>
          </w:p>
        </w:tc>
      </w:tr>
      <w:tr>
        <w:trPr>
          <w:trHeight w:val="959"/>
        </w:trPr>
        <w:tc>
          <w:tcPr>
            <w:tcW w:w="1254" w:type="pct"/>
            <w:vAlign w:val="center"/>
            <w:textDirection w:val="lrTb"/>
            <w:noWrap w:val="false"/>
          </w:tcPr>
          <w:p>
            <w:pPr>
              <w:keepLines w:val="0"/>
              <w:keepNext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水产、肉类</w:t>
            </w:r>
            <w:r>
              <w:rPr>
                <w:rFonts w:hint="eastAsia" w:ascii="宋体" w:hAnsi="宋体" w:cs="宋体"/>
                <w:color w:val="auto"/>
                <w:sz w:val="24"/>
                <w:highlight w:val="none"/>
                <w:lang w:eastAsia="zh-CN"/>
              </w:rPr>
              <w:t xml:space="preserve">、家禽</w:t>
            </w:r>
            <w:r/>
          </w:p>
        </w:tc>
        <w:tc>
          <w:tcPr>
            <w:tcW w:w="3745" w:type="pct"/>
            <w:vAlign w:val="top"/>
            <w:textDirection w:val="lrTb"/>
            <w:noWrap w:val="false"/>
          </w:tcPr>
          <w:p>
            <w:pPr>
              <w:keepLines w:val="0"/>
              <w:keepNext w:val="0"/>
              <w:pageBreakBefore w:val="0"/>
              <w:spacing w:line="46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（1）猪牛羊肉等肉制品类。</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前腿肉（带皮、去皮）、五花肉（带皮、去皮）、后腿肉（带皮、去皮）、大排、小排、肋排、精肉、猪爪、牛腩、羊肉等鲜肉类食品。</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水产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鱼、虾等水产。</w:t>
            </w:r>
            <w:r/>
          </w:p>
          <w:p>
            <w:pPr>
              <w:keepLines w:val="0"/>
              <w:keepNext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）家禽：鸡、鸭、鹅家禽等。</w:t>
            </w:r>
            <w:r/>
          </w:p>
          <w:p>
            <w:pPr>
              <w:keepLines w:val="0"/>
              <w:keepNext w:val="0"/>
              <w:pageBreakBefore w:val="0"/>
              <w:spacing w:line="460" w:lineRule="exact"/>
              <w:widowControl w:val="off"/>
              <w:rPr>
                <w:rFonts w:hint="eastAsia"/>
                <w:color w:val="auto"/>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）蛋类：鸡蛋、鸭蛋、鹅蛋和鹌鹑蛋等。</w:t>
            </w:r>
            <w:r/>
          </w:p>
        </w:tc>
      </w:tr>
      <w:tr>
        <w:trPr>
          <w:trHeight w:val="1058"/>
        </w:trPr>
        <w:tc>
          <w:tcPr>
            <w:tcW w:w="1254" w:type="pct"/>
            <w:vAlign w:val="center"/>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冷冻制品</w:t>
            </w:r>
            <w:r/>
          </w:p>
        </w:tc>
        <w:tc>
          <w:tcPr>
            <w:tcW w:w="3745" w:type="pct"/>
            <w:vAlign w:val="top"/>
            <w:textDirection w:val="lrTb"/>
            <w:noWrap w:val="false"/>
          </w:tcPr>
          <w:p>
            <w:pPr>
              <w:numPr>
                <w:ilvl w:val="0"/>
                <w:numId w:val="0"/>
              </w:numPr>
              <w:keepLines w:val="0"/>
              <w:keepNext w:val="0"/>
              <w:pageBreakBefore w:val="0"/>
              <w:spacing w:line="460" w:lineRule="exact"/>
              <w:widowControl w:val="off"/>
              <w:rPr>
                <w:rFonts w:hint="eastAsia"/>
                <w:color w:val="auto"/>
                <w:highlight w:val="none"/>
                <w:lang w:eastAsia="zh-CN"/>
              </w:rPr>
            </w:pPr>
            <w:r>
              <w:rPr>
                <w:rFonts w:hint="eastAsia" w:ascii="宋体" w:hAnsi="宋体" w:cs="宋体"/>
                <w:color w:val="auto"/>
                <w:sz w:val="24"/>
                <w:highlight w:val="none"/>
              </w:rPr>
              <w:t xml:space="preserve">黑椒鸡块、鸡柳、牛柳、带鱼段（中）、小黄鱼（10条/斤）、无刺鮰鱼块、鸡腿小腿、鸡腿大腿、鸡翅根、鸡中翅、鸭腿等冷冻制品类食材。</w:t>
            </w:r>
            <w:r/>
          </w:p>
        </w:tc>
      </w:tr>
      <w:tr>
        <w:trPr>
          <w:trHeight w:val="959"/>
        </w:trPr>
        <w:tc>
          <w:tcPr>
            <w:tcW w:w="1254" w:type="pct"/>
            <w:vAlign w:val="center"/>
            <w:textDirection w:val="lrTb"/>
            <w:noWrap w:val="false"/>
          </w:tcPr>
          <w:p>
            <w:pPr>
              <w:keepLines w:val="0"/>
              <w:keepNext w:val="0"/>
              <w:pageBreakBefore w:val="0"/>
              <w:spacing w:line="46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蔬菜类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豆制品</w:t>
            </w:r>
            <w:r/>
          </w:p>
        </w:tc>
        <w:tc>
          <w:tcPr>
            <w:tcW w:w="3745" w:type="pct"/>
            <w:vAlign w:val="top"/>
            <w:textDirection w:val="lrTb"/>
            <w:noWrap w:val="false"/>
          </w:tcPr>
          <w:p>
            <w:pPr>
              <w:numPr>
                <w:ilvl w:val="0"/>
                <w:numId w:val="4"/>
              </w:numPr>
              <w:keepLines w:val="0"/>
              <w:keepNext w:val="0"/>
              <w:pageBreakBefore w:val="0"/>
              <w:spacing w:line="46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蔬菜类：青菜、萝卜、包菜、青芹、西红柿、黄瓜、土豆、大白菜、茄子、薄皮青椒等蔬菜类食品。</w:t>
            </w:r>
            <w:r/>
          </w:p>
          <w:p>
            <w:pPr>
              <w:pStyle w:val="759"/>
              <w:numPr>
                <w:ilvl w:val="0"/>
                <w:numId w:val="0"/>
              </w:numPr>
              <w:keepLines w:val="0"/>
              <w:keepNext w:val="0"/>
              <w:pageBreakBefore w:val="0"/>
              <w:spacing w:line="460" w:lineRule="exact"/>
              <w:widowControl w:val="off"/>
              <w:rPr>
                <w:rFonts w:hint="eastAsia"/>
                <w:color w:val="auto"/>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）豆制品：豆腐、豆皮、豆浆、腐竹等。</w:t>
            </w:r>
            <w:r/>
          </w:p>
        </w:tc>
      </w:tr>
      <w:tr>
        <w:trPr>
          <w:trHeight w:val="478"/>
        </w:trPr>
        <w:tc>
          <w:tcPr>
            <w:tcW w:w="1254" w:type="pct"/>
            <w:vAlign w:val="center"/>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粮油及</w:t>
            </w:r>
            <w:r>
              <w:rPr>
                <w:rFonts w:hint="eastAsia" w:ascii="宋体" w:hAnsi="宋体" w:cs="宋体"/>
                <w:color w:val="auto"/>
                <w:sz w:val="24"/>
                <w:highlight w:val="none"/>
              </w:rPr>
              <w:t xml:space="preserve">其他类</w:t>
            </w:r>
            <w:r/>
          </w:p>
        </w:tc>
        <w:tc>
          <w:tcPr>
            <w:tcW w:w="3745" w:type="pct"/>
            <w:vAlign w:val="top"/>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）油：胚芽油、大豆油、玉米油、葵籽油等。</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）干货类：去除了水分的木耳、紫菜、香菇、红枣、桂皮、辣椒、花椒、大茴香、小茴香、胡椒、枸杞等。</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）调味品类：鸡精、盐、糖、八角、桂皮、酱油、辣椒等。</w:t>
            </w:r>
            <w:r/>
          </w:p>
          <w:p>
            <w:pPr>
              <w:keepLines w:val="0"/>
              <w:keepNext w:val="0"/>
              <w:pageBreakBefore w:val="0"/>
              <w:spacing w:line="460" w:lineRule="exact"/>
              <w:widowControl w:val="off"/>
              <w:rPr>
                <w:rFonts w:hint="eastAsia"/>
                <w:color w:val="auto"/>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）面类：面条、饺皮、面粉等。</w:t>
            </w:r>
            <w:r/>
          </w:p>
        </w:tc>
      </w:tr>
    </w:tbl>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三、供货要求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（一）质量标准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承诺其所供的食材均符合《中华人民共和国食品安全法》《中华人民共和国食品安全法实施条例》《中华人民共和国农产品质量安全法》《中华人民共和国动物防疫法》等相关规定，严格保证食品质量符合国家相关产品质理标准，符合国家各级强制性规范要求。在采购人出现因食品质量导致食物中毒的事故发生，中标人承担一切法律责任，并取消其供货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（二）质量要求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1.严格禁止供应如下食品，一经发现，取消其供货资格：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（1）腐败变质、油脂酸败、霉变、生虫、污秽不洁、混有异物或其他感官性状异常，对人体有害的；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（2）含有毒、有害物质或被有害物质污染，对人体身体健康有害的；含有严重超出标准限量的农药残留、兽药残留、重金属、污染物质以及其他危害人体健康的；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（3）未经动物部门检疫、检验或者检疫、检验不合格的肉类及其制品；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（4）病死、毒死或不明死因的禽、蓄、兽、水产动物等及其制品；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（5）用非食品原料加工的，加入非食品用化学物质或将非食品当作食品的。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（6）其他经相关部门及采购人确认的质量问题。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2.因市场特殊原因，个别食材品种不能及时提供，中标人应主动与</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沟通协调，更换品种，满足需要。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3.所有商品因验收货物时不能直接判断质量的，在使用过程中发现不合格商品，中标人应作退货处理。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4.物资验收中不合格产品，中标人应按照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规定时间内调换，以不影响正常工作。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5.因配送物资质量导致出现食品安全事故，中标人有义务协助处理相关事宜。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中标人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7.依据产品质量监督检验单位提供的质量标准，中标人提供的食材必须取得经过质量监督管理部门检验合格的产品，每批次产品提供时应交存产品质量合格证明、产品质量检测合格报告或检验报告复印件。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对食材提出的质量异议时，中标人须保证在60分钟以内作出答复，并妥善商处。无法在60分钟内解决的，应在三个小时内提供备用产品，使</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能够正常使用。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9.每次供货交接完成后，中标人须对供货清单中的食材进行留样。</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（一）本次报价须为人民币报价，包含：商品价、运输费（含装卸费）、人工费、保险费、税费、培训费、货物送到</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指定地点等的所有费用。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（二）本项目采购食材清单由</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根据每批次需要自主选定，各供应商在报价时应充分考虑一年四季内市场行情波动及政策风险等客观因素进行报价。</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（三）基准单价计算方式：</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1.所供食材种类单价</w:t>
      </w:r>
      <w:r>
        <w:rPr>
          <w:rFonts w:hint="eastAsia" w:ascii="宋体" w:hAnsi="宋体" w:cs="宋体"/>
          <w:b/>
          <w:bCs/>
          <w:color w:val="auto"/>
          <w:sz w:val="24"/>
          <w:highlight w:val="none"/>
          <w:lang w:val="en-US" w:eastAsia="zh-CN"/>
        </w:rPr>
        <w:t xml:space="preserve">按</w:t>
      </w:r>
      <w:r>
        <w:rPr>
          <w:rFonts w:hint="eastAsia" w:ascii="宋体" w:hAnsi="宋体" w:cs="宋体"/>
          <w:b/>
          <w:bCs/>
          <w:color w:val="auto"/>
          <w:sz w:val="24"/>
          <w:highlight w:val="none"/>
        </w:rPr>
        <w:t xml:space="preserve">高淳区天河市场同期同品种食材</w:t>
      </w:r>
      <w:r>
        <w:rPr>
          <w:rFonts w:hint="eastAsia" w:ascii="宋体" w:hAnsi="宋体" w:cs="宋体"/>
          <w:b/>
          <w:bCs/>
          <w:color w:val="auto"/>
          <w:sz w:val="24"/>
          <w:highlight w:val="none"/>
          <w:lang w:val="en-US" w:eastAsia="zh-CN"/>
        </w:rPr>
        <w:t xml:space="preserve">价为基准单价</w:t>
      </w:r>
      <w:r>
        <w:rPr>
          <w:rFonts w:hint="eastAsia" w:ascii="宋体" w:hAnsi="宋体" w:cs="宋体"/>
          <w:b/>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.如所供食材种类天河市场未明确的由采购人和供应商自行协商确定。</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在合同期内，如发现中标人报价高于基准价格的，第一次当天送货总金额按八折结算；第二次按照当月送货总金额八折结算；第三次取消供货资格。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中标人以每月经采购人核定后的价格为下月食材供应价格。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（四）中标人食材结算单价=取食材核定零售价*（1-中标</w:t>
      </w:r>
      <w:r>
        <w:rPr>
          <w:rFonts w:hint="eastAsia" w:ascii="宋体" w:hAnsi="宋体" w:cs="宋体"/>
          <w:color w:val="auto"/>
          <w:sz w:val="24"/>
          <w:highlight w:val="none"/>
          <w:lang w:eastAsia="zh-CN"/>
        </w:rPr>
        <w:t xml:space="preserve">优惠率</w:t>
      </w:r>
      <w:r>
        <w:rPr>
          <w:rFonts w:hint="eastAsia" w:ascii="宋体" w:hAnsi="宋体" w:cs="宋体"/>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五、交付要求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（一）食堂所需蔬菜类食材，中标人须每天（含节假日）</w:t>
      </w:r>
      <w:r>
        <w:rPr>
          <w:rFonts w:hint="eastAsia" w:ascii="宋体" w:hAnsi="宋体" w:cs="宋体"/>
          <w:color w:val="auto"/>
          <w:sz w:val="24"/>
          <w:highlight w:val="none"/>
          <w:lang w:val="en-US" w:eastAsia="zh-CN"/>
        </w:rPr>
        <w:t xml:space="preserve">按</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lang w:val="en-US" w:eastAsia="zh-CN"/>
        </w:rPr>
        <w:t xml:space="preserve">要求的时间</w:t>
      </w:r>
      <w:r>
        <w:rPr>
          <w:rFonts w:hint="eastAsia" w:ascii="宋体" w:hAnsi="宋体" w:cs="宋体"/>
          <w:color w:val="auto"/>
          <w:sz w:val="24"/>
          <w:highlight w:val="none"/>
        </w:rPr>
        <w:t xml:space="preserve">送达至</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指定地点。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（二）食堂所需肉类食材，根据</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前一天17：30之前出具货品清单，中标人按</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要求的时间送达至</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指定地点。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有权根据</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实际供货能力调整配送时间段，</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须无条件按</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要求执行。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可根据自身需求以及对货物的品质要求，随时有权终止某些商品的采购或变更,有权选择或指定合适的供应商(供应点)交由中标人负责定点采购,据实结算，中标人不得以任何理由拒绝。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供应商须具备应急服务能力，且有长期驻地人员，有一定的处理紧急情况的经验。如遇节假日、采购人临时有大批量食材采购或紧急采购任务时，中标人须承诺在接到采购人通知后，一小时内将指定食材运送至采购人指定地点并卸货，派专人负责跟踪服务，保证食材准时准点供应，如推迟送货的，采购人有权拒绝验收签单。（提供相关证明材料及技术团队主要成员联系人、联系方式表及承诺书加盖供应商公章。）</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六、验收标准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（一）肉制品类（包含冷冻制品）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1.肉制品（冷鲜）：符合国家标准，提供动物检疫合格证，原件</w:t>
      </w:r>
      <w:r>
        <w:rPr>
          <w:rFonts w:hint="eastAsia" w:ascii="宋体" w:hAnsi="宋体" w:cs="宋体"/>
          <w:color w:val="auto"/>
          <w:sz w:val="24"/>
          <w:highlight w:val="none"/>
          <w:lang w:val="en-US" w:eastAsia="zh-CN"/>
        </w:rPr>
        <w:t xml:space="preserve">交至</w:t>
      </w:r>
      <w:r>
        <w:rPr>
          <w:rFonts w:hint="eastAsia" w:ascii="宋体" w:hAnsi="宋体" w:cs="宋体"/>
          <w:color w:val="auto"/>
          <w:sz w:val="24"/>
          <w:highlight w:val="none"/>
        </w:rPr>
        <w:t xml:space="preserve">使用方。表皮洁净，肥瘦适中，色泽正常，去骨，无异味，无注水，无颈骨，无淋巴，按采购人要求规格供货。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冷冻禽肉：带鱼段（中）、小黄鱼（10条/斤）：须提供质量监督管理部门检测合格报告。包装完整、批号清晰，按采购人要求规格供货。冷冻家禽：须提供检测合格报告。干冻，无注水，全净膛，表皮完整洁净，按</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要求规格供货。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（二）蔬菜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蛋类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1.蔬菜类：农药残留符合GB/T 5009.218-2008标准。无虫咬、发芽、发黄、发霉现象；无明显水泡现象，根、茎、叶新鲜，包叶菜的外层粗皮去除干净。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2.蛋类：蛋壳清洁完整，灯光透视时整个蛋呈微红色，蛋黄不见或略有阴影，打开后蛋黄凸起完整并带有韧性，蛋白澄清透明，稀稠分明。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（三）家禽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外观检查：体型、毛色、眼睛、嘴巴等方面。例如，检查家禽的眼睛是否明亮，嘴巴是否干净等。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气味检查：气味检查没有异味，不得有腐败味等。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色泽检查：色泽明亮，不得出现发黑、褐色等。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（四）水产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水产类：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（五）其他类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1.豆制品类</w:t>
      </w:r>
      <w:r/>
    </w:p>
    <w:p>
      <w:pPr>
        <w:ind w:firstLine="480"/>
        <w:spacing w:line="360" w:lineRule="auto"/>
        <w:rPr>
          <w:rFonts w:eastAsia="宋体"/>
          <w:color w:val="auto"/>
          <w:highlight w:val="none"/>
        </w:rPr>
      </w:pPr>
      <w:r>
        <w:rPr>
          <w:rFonts w:hint="eastAsia" w:ascii="宋体" w:hAnsi="宋体" w:eastAsia="宋体" w:cs="宋体"/>
          <w:color w:val="auto"/>
          <w:sz w:val="24"/>
          <w:highlight w:val="none"/>
        </w:rPr>
        <w:t xml:space="preserve">须提供质量监督管理部门检验合格报告。新鲜、保证当天货品；干净、无灰尘、异味；外形完整、无破损；鲜豆腐饱满、结实、颜色正常；如有包装，应整洁、分量足。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2.米：符合GB/T 1354-2018标准。一级大米要求含水量等于低于规定标准，无杂质、杂米，黄粒米&lt;2%，含碎&lt;15%，水份&lt;15.5%；优质大米要求含水量等于低于规定标准，无杂质、杂米，黄粒米&lt;2%，含碎&lt;10%，水份&lt;15%。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.面：符合国家质量标准，卫生指标应符合 GB 2715-2016《粮食卫生标准》，小麦粉中不得添加过氧化苯甲酰、溴酸钾；添加营养强化剂应符合GB 14880-2012《食品营养强化剂使用标准》。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.油：大豆油符合GB/T 1535-2017标准，要求澄清透明；气味、口感</w:t>
      </w:r>
      <w:r>
        <w:rPr>
          <w:rFonts w:hint="eastAsia" w:ascii="宋体" w:hAnsi="宋体" w:cs="宋体"/>
          <w:color w:val="auto"/>
          <w:sz w:val="24"/>
          <w:highlight w:val="none"/>
        </w:rPr>
        <w:t xml:space="preserve">较好；溶剂残留不得检出；酸值小于1；过氧化值小于6；密封良好，无渗漏；玉米油符合符GB/T 19111-2017标准，要求澄清透明；气味、口感较好；溶剂残留不得检出；酸值小于0.2%；过氧化值小于5；商标整齐，喷码正确，文字清晰。密封良好，无渗漏；葵花籽油符合GB/T 10464-2017标准，要求澄清透明；气味、口感较好；商标整齐，喷码正确，文字清晰。密封良好，无渗漏；菜籽油符合GB/T 1536-2021标准，要求澄清透明；气味、口感较好；溶剂残留不得检出；酸值小于1；过氧化值小于6；密封良好，无渗漏。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.干货类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.调味品类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色泽正常，滋气味：具有该品种固有的香味，滋味无异味，性状：油酱均匀的酱体或无结块的粉状固体，包装质量：封口平整，无破包，夹包，漏包；包装显示有效期，要牢固、防潮、整洁、美观、无异味，便于运输及装卸。</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七、验收方式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val="zh-CN"/>
        </w:rPr>
        <w:t xml:space="preserve">人</w:t>
      </w:r>
      <w:r>
        <w:rPr>
          <w:rFonts w:hint="eastAsia" w:ascii="宋体" w:hAnsi="宋体" w:cs="宋体"/>
          <w:color w:val="auto"/>
          <w:sz w:val="24"/>
          <w:highlight w:val="none"/>
        </w:rPr>
        <w:t xml:space="preserve">每天上午集中收货、验收一次，中标人需将当日需要的所有食材、商品一次性打包密闭送达，不得将项目分包给多家供应商及多次送货。货物到达现场后，中标人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2.提供货物未达到招标文件规定要求，且对</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造成损失的，由中标人承担一切责任，并赔偿所造成损失。超过收货时间送货的，</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有权拒绝收货。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3.凡按重量计量物资，均以物品净重方式计量结算。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4.所有货物送达</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指定地点前必须按包装要求进行封闭装运。</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八、质保及售后要求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（一）质保期限：所有有保质期的食材在配送到采购人单位时，剩余保质期不得低于总保质期的一半。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（二）售后服务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1.中标人的配送服务必须为中标人为本项目设立的本公司供货组人员进行配送，不得委托第三方单位进行配送服务，一经发现，取消其配送资格。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2.中标人应配备相应的采购配送人员、采购配送车，实行专人专车进行配送，需冷链运输的需配备冷藏车辆，并负责人员和车辆的安全和管理，保证人员和车辆遵守采购人相关规定。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（1）配送人员必须取得卫生部门出具的健康证，工作时做到个人仪表整洁，送货时必须佩带经营单位的食品配送上岗证。中标人要加强对来院工作人员的管理教育，应服从</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的管理，不得私自在加工区域外逗留，不得有偷窃、夹带等违规情况，如经发现将严肃处理。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（2）配送车辆上必须粘贴配送标识，车辆要保持清洁，在食材配送过程中不得与其他产品混装。</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供应商在供货过程中所产生的事故及一切损失由供应商自行承担。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3.中标人在配送服务过程中应遵守</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单位的各项规章制度，不得与</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单位或人员发生各种不文明行为，如遇不可解决之矛盾应以沟通为主，相互谅解。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4.中标人应建立进货查验记录制度与食材安全追溯体系，建立票、据、证档案，</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有权定期检查。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5.供应商应承诺，如中标后同意提供</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要求的与其投标有关的一切数据和资料，并保证其所提供数据资料的真实性与准确性。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6.培训：</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应不断对其人员进行专业培训，以完成工作任务。</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九、付款条件</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一</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甲乙双方每月上旬对上月费用进行对帐，品种、价格以确认单为准，数量、质量以过磅验收结果为准，</w:t>
      </w:r>
      <w:r>
        <w:rPr>
          <w:rFonts w:hint="eastAsia" w:ascii="宋体" w:hAnsi="宋体" w:cs="宋体"/>
          <w:color w:val="auto"/>
          <w:spacing w:val="8"/>
          <w:sz w:val="24"/>
          <w:highlight w:val="none"/>
          <w:lang w:val="en-US" w:eastAsia="zh-CN"/>
        </w:rPr>
        <w:t xml:space="preserve">并提供以下相关资料：</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1.乙方提供电脑打印供货清单（含供应食材种类、数量）；</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2.经甲方相关人员验收签收凭证（一式两份，双方签字）；</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3.甲方根据实际情况要求的其他材料等。</w:t>
      </w:r>
      <w:r/>
    </w:p>
    <w:p>
      <w:pPr>
        <w:ind w:left="109" w:right="53" w:firstLine="419"/>
        <w:spacing w:before="23" w:line="360" w:lineRule="auto"/>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上述材料经双方核实确认无误后，由乙方提供相应的等额发票</w:t>
      </w:r>
      <w:r>
        <w:rPr>
          <w:rFonts w:hint="eastAsia" w:ascii="宋体" w:hAnsi="宋体" w:cs="宋体"/>
          <w:color w:val="auto"/>
          <w:spacing w:val="8"/>
          <w:sz w:val="24"/>
          <w:highlight w:val="none"/>
          <w:lang w:eastAsia="zh-CN"/>
        </w:rPr>
        <w:t xml:space="preserve">，在3个月后的10个工作日内付清相应款项。</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乙方结算食材价款时须严格按照折扣后进行计算申报，其提供的所有结算资料均须真实有效、准确详实、有迹可循，如经甲方发现弄虚作假，一经查实，甲方将解除合同，并依法追究乙方的经济和法律责任。</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十、履约及考核要求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供应商应在收到中标通知后20个自然日内，向</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交纳履约保证金</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000元（履约保函的方式）作为合同生效的前提。合同到期后30个自然日内，</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扣除相应的金额后将履约保证金无息退还至</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账户。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如临时增加用餐人员，需临时补充食材的，</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应在约定时间内无条件把指定的食材送至指定的地点，否则每次扣除履约保证金1000-3000元，三次及以上的没收全部履约保证金并解除合作关系。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（三）凡经相关部门认定，如因</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所提供的原食材原因造成食物中毒等卫生事故的，</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除必须承担全部的法律责任外，还要全额承担因食物中毒发生造成后果的一切费用，并立即停止供货，并暂扣当月所有供应原食材的货款作为赔偿预付款。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（四）凡</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向</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提供的食材发生质量问题，影响食用，经验收小组确认，供应商须重新配送合格食材；</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将扣除履约保证金1000-3000元，三次以上没收全部履约保证金并解除合同。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将每三个月组织专人对</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所供食材的质量报送质检部门抽检，检测费用由</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承担。若发现食材质量检测结果与招标文件或投标文件或与国家规定的质量标准不符，</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有权没收履约保证金、解除合同等。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（六）凡</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供应的食材故意串规、定量包装批量误差超过相关规定，一经查实，均按当月食材供应额的3倍值作为支付</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的违约金。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（七）如</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延迟交货或配送货物不符合订单要求，</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须按</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要求及时补货、换货或退货。对于上述情况的发生，前两次</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将予以警告，第三次</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有权直接解除合同并没收其全部履约保证金。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（八）如</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在项目实施期间出现违背投标时的承诺，或经营异常，或丧失商业信誉，或产品被曝光不合格或被政府部门取缔相关生产经营资格的情况，</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有权直接解除合同并没收其履约保证金。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考核标准：结合每个月考核得出总分，如总分90分（含90分）以上不处罚，80分(含)-90分(不含)每下降一分扣100元；70分（含）-80分（不含）每下降一分扣200元；60分（含）-70分（不含）每下降一分扣300元；60分（不含）以下不合格，</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有权解除合同，并没收其约保证金。</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须对所有扣分项做出书面整改承诺。</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有权直接从履约保证金中扣除。</w:t>
      </w:r>
      <w:r/>
    </w:p>
    <w:tbl>
      <w:tblPr>
        <w:tblStyle w:val="7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796"/>
        <w:gridCol w:w="1105"/>
        <w:gridCol w:w="788"/>
        <w:gridCol w:w="5739"/>
        <w:gridCol w:w="718"/>
      </w:tblGrid>
      <w:tr>
        <w:trPr>
          <w:cantSplit/>
          <w:jc w:val="center"/>
          <w:trHeight w:val="624"/>
        </w:trPr>
        <w:tc>
          <w:tcPr>
            <w:tcW w:w="464"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一级</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指标</w:t>
            </w:r>
            <w:r/>
          </w:p>
        </w:tc>
        <w:tc>
          <w:tcPr>
            <w:tcW w:w="395"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分值</w:t>
            </w:r>
            <w:r/>
          </w:p>
        </w:tc>
        <w:tc>
          <w:tcPr>
            <w:tcW w:w="548"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二级</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指标</w:t>
            </w:r>
            <w:r/>
          </w:p>
        </w:tc>
        <w:tc>
          <w:tcPr>
            <w:tcW w:w="391"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分值</w:t>
            </w:r>
            <w:r/>
          </w:p>
        </w:tc>
        <w:tc>
          <w:tcPr>
            <w:tcW w:w="2846"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考核内容及标准</w:t>
            </w:r>
            <w:r/>
          </w:p>
        </w:tc>
        <w:tc>
          <w:tcPr>
            <w:tcW w:w="356"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扣分</w:t>
            </w:r>
            <w:r/>
          </w:p>
        </w:tc>
      </w:tr>
      <w:tr>
        <w:trPr>
          <w:cantSplit/>
          <w:jc w:val="center"/>
          <w:trHeight w:val="641"/>
        </w:trPr>
        <w:tc>
          <w:tcPr>
            <w:tcW w:w="464"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流程管理</w:t>
            </w:r>
            <w:r/>
          </w:p>
        </w:tc>
        <w:tc>
          <w:tcPr>
            <w:tcW w:w="395"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30分</w:t>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准时送货</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送货准时，每次所需食材按招标方要求一并送达9分（非不可抗拒情况下延误一次扣3分，以此类推，扣完为止。发现委托其他人或其他车代送不得分）。</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70"/>
        </w:trPr>
        <w:tc>
          <w:tcPr>
            <w:tcW w:w="464" w:type="pct"/>
            <w:vAlign w:val="center"/>
            <w:vMerge w:val="continue"/>
            <w:textDirection w:val="tbRlV"/>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95"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足斤足两</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送货无短斤缺两现象9分（份量短缺达到该类食材配送总量5%及以上，有一次扣3分，以此类推，扣完为止）。</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13"/>
        </w:trPr>
        <w:tc>
          <w:tcPr>
            <w:tcW w:w="464"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95"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服务态度</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工作人员工作认真，服务热情周到，运送搬装文明4分（运送人员野蛮运装或无正当理由与工作人员争执，一次扣2分，扣完为止）。</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19"/>
        </w:trPr>
        <w:tc>
          <w:tcPr>
            <w:tcW w:w="464"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95"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工作细致</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配送物品清单与实际配送无差错6分（误差一次扣3分，以此类推，扣完为止）。</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17"/>
        </w:trPr>
        <w:tc>
          <w:tcPr>
            <w:tcW w:w="464"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95"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单据清晰</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送货单（结算凭证）项目齐全，打印清晰2分，否则不得分。</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1124"/>
        </w:trPr>
        <w:tc>
          <w:tcPr>
            <w:tcW w:w="464"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395"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40分</w:t>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食材每日评分汇总</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40分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对配送单位提供的食材质量进行验收考核（验收时按各类食材验收标准打分，由每次得分汇总得出月度分）。</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662"/>
        </w:trPr>
        <w:tc>
          <w:tcPr>
            <w:tcW w:w="464"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科学管理</w:t>
            </w:r>
            <w:r/>
          </w:p>
        </w:tc>
        <w:tc>
          <w:tcPr>
            <w:tcW w:w="395" w:type="pct"/>
            <w:vAlign w:val="center"/>
            <w:vMerge w:val="restart"/>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30分</w:t>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报价准确</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送货单上单价与投标报价一致，符合标书要求（有误差，每次扣3分，以此类推，扣完为止）。</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835"/>
        </w:trPr>
        <w:tc>
          <w:tcPr>
            <w:tcW w:w="464" w:type="pct"/>
            <w:vAlign w:val="center"/>
            <w:vMerge w:val="continue"/>
            <w:textDirection w:val="tbRlV"/>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95"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安全清洁</w:t>
            </w:r>
            <w:r/>
          </w:p>
        </w:tc>
        <w:tc>
          <w:tcPr>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5分</w:t>
            </w:r>
            <w:r/>
          </w:p>
        </w:tc>
        <w:tc>
          <w:tcPr>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操作场所、仓库、运输工具、贮物筐箱等保持清洁卫生，坚持每天清洁工作，定期消毒并有记录，仓库内无过期物品 。（抽查到不符要求的每次扣1分，以此类推，扣完为止）。</w:t>
            </w:r>
            <w:r/>
          </w:p>
        </w:tc>
        <w:tc>
          <w:tcPr>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42"/>
        </w:trPr>
        <w:tc>
          <w:tcPr>
            <w:tcW w:w="464" w:type="pct"/>
            <w:vAlign w:val="center"/>
            <w:vMerge w:val="continue"/>
            <w:textDirection w:val="tbRlV"/>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95"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bottom w:val="single" w:color="000000" w:sz="4" w:space="0"/>
            </w:tcBorders>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联系制度</w:t>
            </w:r>
            <w:r/>
          </w:p>
        </w:tc>
        <w:tc>
          <w:tcPr>
            <w:tcBorders>
              <w:bottom w:val="single" w:color="000000" w:sz="4" w:space="0"/>
            </w:tcBorders>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3分</w:t>
            </w:r>
            <w:r/>
          </w:p>
        </w:tc>
        <w:tc>
          <w:tcPr>
            <w:tcBorders>
              <w:bottom w:val="single" w:color="000000" w:sz="4" w:space="0"/>
            </w:tcBorders>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如市场没有招标方所需食材品种，事先与招标方联系并谈妥更换品种、品级、规格、价格等事项，然后发货。不满足扣3分。（配送单位单方定价后再送货不得分）。</w:t>
            </w:r>
            <w:r/>
          </w:p>
        </w:tc>
        <w:tc>
          <w:tcPr>
            <w:tcBorders>
              <w:bottom w:val="single" w:color="000000" w:sz="4" w:space="0"/>
            </w:tcBorders>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Pr>
        <w:tc>
          <w:tcPr>
            <w:tcW w:w="464"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395" w:type="pct"/>
            <w:vAlign w:val="center"/>
            <w:vMerge w:val="continue"/>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bottom w:val="single" w:color="000000" w:sz="4" w:space="0"/>
            </w:tcBorders>
            <w:tcW w:w="548"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及时整改</w:t>
            </w:r>
            <w:r/>
          </w:p>
        </w:tc>
        <w:tc>
          <w:tcPr>
            <w:tcBorders>
              <w:bottom w:val="single" w:color="000000" w:sz="4" w:space="0"/>
            </w:tcBorders>
            <w:tcW w:w="3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2分</w:t>
            </w:r>
            <w:r/>
          </w:p>
        </w:tc>
        <w:tc>
          <w:tcPr>
            <w:tcBorders>
              <w:bottom w:val="single" w:color="000000" w:sz="4" w:space="0"/>
            </w:tcBorders>
            <w:tcW w:w="2846"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对招标方的意见、建议虚心接受，运作过程中出现的新情况、新问题及时主动沟通、协调有效果，及时整改见实效（2分）（整改效果不明显扣1分，未见整改效果不得分）。</w:t>
            </w:r>
            <w:r/>
          </w:p>
        </w:tc>
        <w:tc>
          <w:tcPr>
            <w:tcBorders>
              <w:bottom w:val="single" w:color="000000" w:sz="4" w:space="0"/>
            </w:tcBorders>
            <w:tcW w:w="356" w:type="pct"/>
            <w:vAlign w:val="center"/>
            <w:textDirection w:val="lrTb"/>
            <w:noWrap w:val="false"/>
          </w:tcPr>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十一、廉政要求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 w:val="24"/>
          <w:highlight w:val="none"/>
        </w:rPr>
        <w:t xml:space="preserve">   为认真贯彻党中央、国务院关于大抓源头治理，标本兼治的精神，推进廉政建设，预防和减少经济犯罪以及违纪、违法行为的发生，加强食材采购环节透明力度，</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应确保食材采购安全卫生、科学营养、廉洁规范。</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rPr>
          <w:rFonts w:hint="eastAsia" w:ascii="宋体" w:hAnsi="宋体" w:eastAsia="宋体" w:cs="宋体"/>
          <w:color w:val="auto"/>
          <w:highlight w:val="none"/>
        </w:rPr>
      </w:pPr>
      <w:r>
        <w:rPr>
          <w:rFonts w:hint="eastAsia" w:ascii="宋体" w:hAnsi="宋体" w:eastAsia="宋体" w:cs="宋体"/>
          <w:color w:val="auto"/>
          <w:highlight w:val="none"/>
        </w:rPr>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803"/>
        <w:jc w:val="center"/>
        <w:rPr>
          <w:rFonts w:hint="eastAsia" w:ascii="宋体" w:hAnsi="宋体" w:eastAsia="宋体" w:cs="宋体"/>
          <w:b/>
          <w:color w:val="auto"/>
          <w:sz w:val="40"/>
          <w:szCs w:val="40"/>
          <w:highlight w:val="none"/>
        </w:rPr>
        <w:outlineLvl w:val="0"/>
      </w:pPr>
      <w:r/>
      <w:bookmarkStart w:id="169" w:name="_Toc5832"/>
      <w:r/>
      <w:bookmarkStart w:id="170" w:name="_Toc26164"/>
      <w:r/>
      <w:bookmarkStart w:id="171" w:name="_Toc16157"/>
      <w:r/>
      <w:bookmarkStart w:id="172" w:name="_Toc18207"/>
      <w:r/>
      <w:bookmarkStart w:id="173" w:name="_Toc17373"/>
      <w:r/>
      <w:bookmarkStart w:id="174" w:name="_Toc19817"/>
      <w:r/>
      <w:bookmarkStart w:id="175" w:name="_Toc4079"/>
      <w:r/>
      <w:bookmarkStart w:id="176" w:name="_Toc18780"/>
      <w:r/>
      <w:bookmarkStart w:id="177" w:name="_Toc27765"/>
      <w:r/>
      <w:bookmarkStart w:id="178" w:name="_Toc11253"/>
      <w:r/>
      <w:bookmarkStart w:id="179" w:name="_Toc13172"/>
      <w:r/>
      <w:bookmarkStart w:id="180" w:name="_Toc31220"/>
      <w:r/>
      <w:bookmarkStart w:id="181" w:name="_Toc30268"/>
      <w:r/>
      <w:bookmarkStart w:id="182" w:name="_Toc8952"/>
      <w:r/>
      <w:bookmarkStart w:id="183" w:name="_Toc153441900"/>
      <w:r/>
      <w:bookmarkStart w:id="184" w:name="_Toc1897"/>
      <w:r/>
      <w:bookmarkStart w:id="185" w:name="_Toc12107"/>
      <w:r/>
      <w:bookmarkStart w:id="186" w:name="_Toc17293"/>
      <w:r/>
      <w:bookmarkStart w:id="187" w:name="_Toc4378"/>
      <w:r/>
      <w:bookmarkStart w:id="188" w:name="_Toc18521"/>
      <w:r/>
      <w:bookmarkStart w:id="189" w:name="_Toc32113"/>
      <w:r/>
      <w:bookmarkStart w:id="190" w:name="_Toc15479"/>
      <w:r/>
      <w:bookmarkStart w:id="191" w:name="_Toc30773"/>
      <w:r/>
      <w:bookmarkStart w:id="192" w:name="_Toc17626"/>
      <w:r/>
      <w:bookmarkStart w:id="193" w:name="_Toc10386"/>
      <w:r/>
      <w:bookmarkStart w:id="194" w:name="_Toc6551"/>
      <w:r/>
      <w:bookmarkStart w:id="195" w:name="_Toc13742"/>
      <w:r/>
      <w:bookmarkStart w:id="196" w:name="_Toc7048"/>
      <w:r/>
      <w:bookmarkStart w:id="197" w:name="_Toc28526"/>
      <w:r/>
      <w:bookmarkStart w:id="198" w:name="_Toc820"/>
      <w:r/>
      <w:bookmarkStart w:id="199" w:name="_Toc16808"/>
      <w:r/>
      <w:bookmarkStart w:id="200" w:name="_Toc4569"/>
      <w:r/>
      <w:bookmarkStart w:id="201" w:name="_Toc504141752"/>
      <w:r/>
      <w:bookmarkStart w:id="202" w:name="_Toc1652"/>
      <w:r/>
      <w:bookmarkStart w:id="203" w:name="_Toc2495"/>
      <w:r/>
      <w:bookmarkStart w:id="204" w:name="_Toc13863"/>
      <w:r/>
      <w:bookmarkStart w:id="205" w:name="_Toc7641"/>
      <w:r/>
      <w:bookmarkStart w:id="206" w:name="_Toc16681"/>
      <w:r/>
      <w:bookmarkStart w:id="207" w:name="_Toc116284544"/>
      <w:r/>
      <w:bookmarkStart w:id="208" w:name="_Toc19036"/>
      <w:r/>
      <w:bookmarkStart w:id="209" w:name="_Toc31165"/>
      <w:r/>
      <w:bookmarkStart w:id="210" w:name="_Toc8849"/>
      <w:r/>
      <w:bookmarkStart w:id="211" w:name="_Toc22104"/>
      <w:r>
        <w:rPr>
          <w:rFonts w:hint="eastAsia" w:ascii="宋体" w:hAnsi="宋体" w:eastAsia="宋体" w:cs="宋体"/>
          <w:b/>
          <w:color w:val="auto"/>
          <w:sz w:val="40"/>
          <w:szCs w:val="40"/>
          <w:highlight w:val="none"/>
        </w:rPr>
        <w:t xml:space="preserve">第五章 </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eastAsia="宋体" w:cs="宋体"/>
          <w:b/>
          <w:color w:val="auto"/>
          <w:sz w:val="40"/>
          <w:szCs w:val="40"/>
          <w:highlight w:val="none"/>
        </w:rPr>
        <w:t xml:space="preserve">合同草案条款</w:t>
      </w:r>
      <w:bookmarkEnd w:id="211"/>
      <w:r/>
      <w:r/>
    </w:p>
    <w:p>
      <w:pPr>
        <w:ind w:firstLine="720"/>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jc w:val="center"/>
        <w:rPr>
          <w:rFonts w:hint="eastAsia" w:ascii="宋体" w:hAnsi="宋体" w:cs="宋体"/>
          <w:color w:val="auto"/>
          <w:sz w:val="52"/>
          <w:highlight w:val="none"/>
        </w:rPr>
      </w:pPr>
      <w:r>
        <w:rPr>
          <w:rFonts w:hint="eastAsia" w:ascii="宋体" w:hAnsi="宋体" w:cs="宋体"/>
          <w:color w:val="auto"/>
          <w:sz w:val="52"/>
          <w:highlight w:val="none"/>
        </w:rPr>
        <w:t xml:space="preserve">南京市政府采购合同</w:t>
      </w:r>
      <w:r/>
    </w:p>
    <w:p>
      <w:pPr>
        <w:ind w:firstLine="315"/>
        <w:rPr>
          <w:rFonts w:hint="eastAsia" w:ascii="宋体" w:hAnsi="宋体" w:cs="宋体"/>
          <w:color w:val="auto"/>
          <w:sz w:val="32"/>
          <w:highlight w:val="none"/>
        </w:rPr>
      </w:pPr>
      <w:r>
        <w:rPr>
          <w:rFonts w:hint="eastAsia" w:ascii="宋体" w:hAnsi="宋体" w:cs="宋体"/>
          <w:b/>
          <w:color w:val="auto"/>
          <w:sz w:val="32"/>
          <w:highlight w:val="none"/>
        </w:rPr>
        <w:t xml:space="preserve">           </w:t>
      </w:r>
      <w:r>
        <w:rPr>
          <w:rFonts w:hint="eastAsia" w:ascii="宋体" w:hAnsi="宋体" w:cs="宋体"/>
          <w:color w:val="auto"/>
          <w:sz w:val="32"/>
          <w:highlight w:val="none"/>
        </w:rPr>
        <w:t xml:space="preserve">  </w:t>
      </w:r>
      <w:r/>
    </w:p>
    <w:p>
      <w:pPr>
        <w:ind w:firstLine="315"/>
        <w:jc w:val="center"/>
        <w:rPr>
          <w:rFonts w:hint="eastAsia" w:ascii="宋体" w:hAnsi="宋体" w:cs="宋体"/>
          <w:color w:val="auto"/>
          <w:sz w:val="32"/>
          <w:highlight w:val="none"/>
        </w:rPr>
      </w:pPr>
      <w:r>
        <w:rPr>
          <w:rFonts w:hint="eastAsia" w:ascii="宋体" w:hAnsi="宋体" w:cs="宋体"/>
          <w:color w:val="auto"/>
          <w:sz w:val="32"/>
          <w:highlight w:val="none"/>
        </w:rPr>
        <w:t xml:space="preserve">（供参考）</w:t>
      </w:r>
      <w:r/>
    </w:p>
    <w:p>
      <w:pPr>
        <w:ind w:firstLine="315"/>
        <w:rPr>
          <w:rFonts w:hint="eastAsia" w:ascii="宋体" w:hAnsi="宋体" w:cs="宋体"/>
          <w:color w:val="auto"/>
          <w:sz w:val="32"/>
          <w:highlight w:val="none"/>
        </w:rPr>
      </w:pPr>
      <w:r>
        <w:rPr>
          <w:rFonts w:hint="eastAsia" w:ascii="宋体" w:hAnsi="宋体" w:cs="宋体"/>
          <w:color w:val="auto"/>
          <w:sz w:val="32"/>
          <w:highlight w:val="none"/>
        </w:rPr>
      </w:r>
      <w:r/>
    </w:p>
    <w:p>
      <w:pPr>
        <w:ind w:firstLine="1918"/>
        <w:rPr>
          <w:rFonts w:hint="eastAsia" w:ascii="宋体" w:hAnsi="宋体" w:cs="宋体"/>
          <w:b/>
          <w:color w:val="auto"/>
          <w:sz w:val="36"/>
          <w:highlight w:val="none"/>
        </w:rPr>
      </w:pPr>
      <w:r>
        <w:rPr>
          <w:rFonts w:hint="eastAsia" w:ascii="宋体" w:hAnsi="宋体" w:cs="宋体"/>
          <w:b/>
          <w:color w:val="auto"/>
          <w:sz w:val="36"/>
          <w:highlight w:val="none"/>
        </w:rPr>
        <w:t xml:space="preserve">合同编号 ：</w:t>
      </w:r>
      <w:r>
        <w:rPr>
          <w:rFonts w:hint="eastAsia" w:ascii="宋体" w:hAnsi="宋体" w:cs="宋体"/>
          <w:b/>
          <w:color w:val="auto"/>
          <w:sz w:val="36"/>
          <w:highlight w:val="none"/>
          <w:u w:val="single"/>
        </w:rPr>
        <w:t xml:space="preserve">                    </w:t>
      </w:r>
      <w:r/>
    </w:p>
    <w:p>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项目名称 ：</w:t>
      </w:r>
      <w:r>
        <w:rPr>
          <w:rFonts w:hint="eastAsia" w:ascii="宋体" w:hAnsi="宋体" w:cs="宋体"/>
          <w:b/>
          <w:color w:val="auto"/>
          <w:sz w:val="36"/>
          <w:highlight w:val="none"/>
          <w:u w:val="single"/>
        </w:rPr>
        <w:t xml:space="preserve">                    </w:t>
      </w:r>
      <w:r/>
    </w:p>
    <w:p>
      <w:pPr>
        <w:ind w:firstLine="1918"/>
        <w:rPr>
          <w:rFonts w:hint="eastAsia" w:ascii="宋体" w:hAnsi="宋体" w:cs="宋体"/>
          <w:b/>
          <w:color w:val="auto"/>
          <w:sz w:val="36"/>
          <w:highlight w:val="none"/>
          <w:u w:val="single"/>
        </w:rPr>
      </w:pPr>
      <w:r>
        <w:rPr>
          <w:rFonts w:hint="eastAsia" w:ascii="宋体" w:hAnsi="宋体" w:cs="宋体"/>
          <w:b/>
          <w:color w:val="auto"/>
          <w:sz w:val="36"/>
          <w:highlight w:val="none"/>
        </w:rPr>
        <w:t xml:space="preserve">使用单位 ：</w:t>
      </w:r>
      <w:r>
        <w:rPr>
          <w:rFonts w:hint="eastAsia" w:ascii="宋体" w:hAnsi="宋体" w:cs="宋体"/>
          <w:b/>
          <w:color w:val="auto"/>
          <w:sz w:val="36"/>
          <w:highlight w:val="none"/>
          <w:u w:val="single"/>
        </w:rPr>
        <w:t xml:space="preserve">                    </w:t>
      </w:r>
      <w:r/>
    </w:p>
    <w:p>
      <w:pPr>
        <w:ind w:firstLine="1916"/>
        <w:rPr>
          <w:rFonts w:hint="eastAsia" w:ascii="宋体" w:hAnsi="宋体" w:cs="宋体"/>
          <w:b/>
          <w:color w:val="auto"/>
          <w:sz w:val="36"/>
          <w:highlight w:val="none"/>
        </w:rPr>
      </w:pPr>
      <w:r>
        <w:rPr>
          <w:rFonts w:hint="eastAsia" w:ascii="宋体" w:hAnsi="宋体" w:cs="宋体"/>
          <w:b/>
          <w:color w:val="auto"/>
          <w:sz w:val="36"/>
          <w:highlight w:val="none"/>
        </w:rPr>
        <w:t xml:space="preserve">供货单位 ：</w:t>
      </w:r>
      <w:r>
        <w:rPr>
          <w:rFonts w:hint="eastAsia" w:ascii="宋体" w:hAnsi="宋体" w:cs="宋体"/>
          <w:b/>
          <w:color w:val="auto"/>
          <w:sz w:val="36"/>
          <w:highlight w:val="none"/>
          <w:u w:val="single"/>
        </w:rPr>
        <w:t xml:space="preserve">                    </w:t>
      </w:r>
      <w:r/>
    </w:p>
    <w:p>
      <w:pPr>
        <w:ind w:firstLine="1916"/>
        <w:rPr>
          <w:rFonts w:hint="eastAsia" w:ascii="宋体" w:hAnsi="宋体" w:cs="宋体"/>
          <w:b/>
          <w:color w:val="auto"/>
          <w:sz w:val="36"/>
          <w:highlight w:val="none"/>
        </w:rPr>
      </w:pPr>
      <w:r>
        <w:rPr>
          <w:rFonts w:hint="eastAsia" w:ascii="宋体" w:hAnsi="宋体" w:cs="宋体"/>
          <w:b/>
          <w:color w:val="auto"/>
          <w:sz w:val="36"/>
          <w:highlight w:val="none"/>
        </w:rPr>
        <w:t xml:space="preserve">签订日期 ：</w:t>
      </w:r>
      <w:r>
        <w:rPr>
          <w:rFonts w:hint="eastAsia" w:ascii="宋体" w:hAnsi="宋体" w:cs="宋体"/>
          <w:b/>
          <w:color w:val="auto"/>
          <w:sz w:val="36"/>
          <w:highlight w:val="none"/>
          <w:u w:val="single"/>
        </w:rPr>
        <w:t xml:space="preserve">                    </w:t>
      </w:r>
      <w:r/>
    </w:p>
    <w:p>
      <w:pPr>
        <w:rPr>
          <w:rFonts w:hint="eastAsia" w:ascii="宋体" w:hAnsi="宋体" w:cs="宋体"/>
          <w:color w:val="auto"/>
          <w:sz w:val="36"/>
          <w:highlight w:val="none"/>
        </w:rPr>
      </w:pPr>
      <w:r>
        <w:rPr>
          <w:rFonts w:hint="eastAsia" w:ascii="宋体" w:hAnsi="宋体" w:cs="宋体"/>
          <w:color w:val="auto"/>
          <w:sz w:val="36"/>
          <w:highlight w:val="none"/>
        </w:rPr>
        <w:t xml:space="preserve">              </w:t>
      </w:r>
      <w:r/>
    </w:p>
    <w:p>
      <w:pPr>
        <w:ind w:firstLine="2668"/>
        <w:rPr>
          <w:rFonts w:hint="eastAsia" w:ascii="宋体" w:hAnsi="宋体" w:cs="宋体"/>
          <w:b/>
          <w:color w:val="auto"/>
          <w:sz w:val="36"/>
          <w:highlight w:val="none"/>
        </w:rPr>
      </w:pPr>
      <w:r>
        <w:rPr>
          <w:rFonts w:hint="eastAsia" w:ascii="宋体" w:hAnsi="宋体" w:cs="宋体"/>
          <w:b/>
          <w:color w:val="auto"/>
          <w:sz w:val="36"/>
          <w:highlight w:val="none"/>
        </w:rPr>
        <w:t xml:space="preserve">南京市工商行政管理局</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t xml:space="preserve">南 京 市 财 政 局  监制</w:t>
      </w:r>
      <w:r/>
    </w:p>
    <w:p>
      <w:pPr>
        <w:spacing w:before="153" w:line="360" w:lineRule="auto"/>
        <w:rPr>
          <w:rFonts w:hint="eastAsia" w:ascii="宋体" w:hAnsi="宋体" w:cs="宋体"/>
          <w:color w:val="auto"/>
          <w:sz w:val="24"/>
          <w:highlight w:val="none"/>
        </w:rPr>
      </w:pPr>
      <w:r>
        <w:rPr>
          <w:rFonts w:hint="eastAsia" w:ascii="宋体" w:hAnsi="宋体" w:cs="宋体"/>
          <w:b/>
          <w:color w:val="auto"/>
          <w:sz w:val="36"/>
          <w:highlight w:val="none"/>
        </w:rPr>
        <w:br w:type="page" w:clear="all"/>
      </w:r>
      <w:r>
        <w:rPr>
          <w:rFonts w:hint="eastAsia" w:ascii="宋体" w:hAnsi="宋体" w:cs="宋体"/>
          <w:color w:val="auto"/>
          <w:spacing w:val="5"/>
          <w:sz w:val="24"/>
          <w:highlight w:val="none"/>
        </w:rPr>
        <w:t xml:space="preserve">合同编号：</w:t>
      </w:r>
      <w:r/>
    </w:p>
    <w:p>
      <w:pPr>
        <w:spacing w:before="295" w:line="360" w:lineRule="auto"/>
        <w:rPr>
          <w:rFonts w:hint="eastAsia" w:ascii="宋体" w:hAnsi="宋体" w:cs="宋体"/>
          <w:color w:val="auto"/>
          <w:sz w:val="24"/>
          <w:highlight w:val="none"/>
        </w:rPr>
      </w:pPr>
      <w:r>
        <w:rPr>
          <w:rFonts w:hint="eastAsia" w:ascii="宋体" w:hAnsi="宋体" w:cs="宋体"/>
          <w:color w:val="auto"/>
          <w:spacing w:val="9"/>
          <w:sz w:val="24"/>
          <w:highlight w:val="none"/>
        </w:rPr>
        <w:t xml:space="preserve">采购人</w:t>
      </w:r>
      <w:r>
        <w:rPr>
          <w:rFonts w:hint="eastAsia" w:ascii="宋体" w:hAnsi="宋体" w:cs="宋体"/>
          <w:color w:val="auto"/>
          <w:spacing w:val="-6"/>
          <w:sz w:val="24"/>
          <w:highlight w:val="none"/>
        </w:rPr>
        <w:t xml:space="preserve">：（</w:t>
      </w:r>
      <w:r>
        <w:rPr>
          <w:rFonts w:hint="eastAsia" w:ascii="宋体" w:hAnsi="宋体" w:cs="宋体"/>
          <w:color w:val="auto"/>
          <w:spacing w:val="9"/>
          <w:sz w:val="24"/>
          <w:highlight w:val="none"/>
        </w:rPr>
        <w:t xml:space="preserve">以下称甲方）                      中标人</w:t>
      </w:r>
      <w:r>
        <w:rPr>
          <w:rFonts w:hint="eastAsia" w:ascii="宋体" w:hAnsi="宋体" w:cs="宋体"/>
          <w:color w:val="auto"/>
          <w:spacing w:val="-6"/>
          <w:sz w:val="24"/>
          <w:highlight w:val="none"/>
        </w:rPr>
        <w:t xml:space="preserve">：（</w:t>
      </w:r>
      <w:r>
        <w:rPr>
          <w:rFonts w:hint="eastAsia" w:ascii="宋体" w:hAnsi="宋体" w:cs="宋体"/>
          <w:color w:val="auto"/>
          <w:spacing w:val="8"/>
          <w:sz w:val="24"/>
          <w:highlight w:val="none"/>
        </w:rPr>
        <w:t xml:space="preserve">以下称乙方）</w:t>
      </w:r>
      <w:r/>
    </w:p>
    <w:p>
      <w:pPr>
        <w:spacing w:before="28" w:line="360" w:lineRule="auto"/>
        <w:rPr>
          <w:rFonts w:hint="eastAsia" w:ascii="宋体" w:hAnsi="宋体" w:cs="宋体"/>
          <w:color w:val="auto"/>
          <w:sz w:val="24"/>
          <w:highlight w:val="none"/>
        </w:rPr>
      </w:pPr>
      <w:r>
        <w:rPr>
          <w:rFonts w:hint="eastAsia" w:ascii="宋体" w:hAnsi="宋体" w:cs="宋体"/>
          <w:color w:val="auto"/>
          <w:spacing w:val="4"/>
          <w:sz w:val="24"/>
          <w:highlight w:val="none"/>
        </w:rPr>
        <w:t xml:space="preserve">住所地：                         </w:t>
      </w:r>
      <w:r>
        <w:rPr>
          <w:rFonts w:hint="eastAsia" w:ascii="宋体" w:hAnsi="宋体" w:cs="宋体"/>
          <w:color w:val="auto"/>
          <w:spacing w:val="3"/>
          <w:sz w:val="24"/>
          <w:highlight w:val="none"/>
        </w:rPr>
        <w:t xml:space="preserve">            住所地：</w:t>
      </w:r>
      <w:r/>
    </w:p>
    <w:p>
      <w:pPr>
        <w:ind w:left="109" w:right="53" w:firstLine="419"/>
        <w:spacing w:before="23" w:line="360" w:lineRule="auto"/>
        <w:rPr>
          <w:rFonts w:hint="eastAsia" w:ascii="宋体" w:hAnsi="宋体" w:cs="宋体"/>
          <w:color w:val="auto"/>
          <w:sz w:val="24"/>
          <w:highlight w:val="none"/>
        </w:rPr>
      </w:pPr>
      <w:r>
        <w:rPr>
          <w:rFonts w:hint="eastAsia" w:ascii="宋体" w:hAnsi="宋体" w:cs="宋体"/>
          <w:color w:val="auto"/>
          <w:spacing w:val="8"/>
          <w:sz w:val="24"/>
          <w:highlight w:val="none"/>
        </w:rPr>
        <w:t xml:space="preserve">根据《中华人民共和国政府采购法》《中华人民共和国民法典》等法律法规的规定，</w:t>
      </w:r>
      <w:r>
        <w:rPr>
          <w:rFonts w:hint="eastAsia" w:ascii="宋体" w:hAnsi="宋体" w:cs="宋体"/>
          <w:color w:val="auto"/>
          <w:spacing w:val="-43"/>
          <w:sz w:val="24"/>
          <w:highlight w:val="none"/>
        </w:rPr>
        <w:t xml:space="preserve"> </w:t>
      </w:r>
      <w:r>
        <w:rPr>
          <w:rFonts w:hint="eastAsia" w:ascii="宋体" w:hAnsi="宋体" w:cs="宋体"/>
          <w:color w:val="auto"/>
          <w:spacing w:val="8"/>
          <w:sz w:val="24"/>
          <w:highlight w:val="none"/>
        </w:rPr>
        <w:t xml:space="preserve">甲乙双方按照</w:t>
      </w:r>
      <w:r>
        <w:rPr>
          <w:rFonts w:hint="eastAsia" w:ascii="宋体" w:hAnsi="宋体" w:cs="宋体"/>
          <w:color w:val="auto"/>
          <w:sz w:val="24"/>
          <w:highlight w:val="none"/>
          <w:u w:val="single"/>
          <w:lang w:eastAsia="zh-CN"/>
        </w:rPr>
        <w:t xml:space="preserve">2026年度南京市公安局高淳分局食堂食材采购服务</w:t>
      </w:r>
      <w:r>
        <w:rPr>
          <w:rFonts w:hint="eastAsia" w:ascii="宋体" w:hAnsi="宋体" w:cs="宋体"/>
          <w:color w:val="auto"/>
          <w:spacing w:val="7"/>
          <w:sz w:val="24"/>
          <w:highlight w:val="none"/>
        </w:rPr>
        <w:t xml:space="preserve">招标结果签订本合同。</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合同标的 </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乙方根据甲方需求提供下列货物：</w:t>
      </w:r>
      <w:r>
        <w:rPr>
          <w:rFonts w:hint="eastAsia" w:ascii="宋体" w:hAnsi="宋体" w:cs="宋体"/>
          <w:color w:val="auto"/>
          <w:sz w:val="24"/>
          <w:szCs w:val="21"/>
          <w:highlight w:val="none"/>
        </w:rPr>
        <w:t xml:space="preserve">肉食品（主要指猪牛羊肉）、蔬菜水果、家禽、水产、蛋、奶制品与其他类</w:t>
      </w:r>
      <w:r>
        <w:rPr>
          <w:rFonts w:hint="eastAsia" w:ascii="宋体" w:hAnsi="宋体" w:cs="宋体"/>
          <w:color w:val="auto"/>
          <w:spacing w:val="8"/>
          <w:sz w:val="24"/>
          <w:highlight w:val="none"/>
        </w:rPr>
        <w:t xml:space="preserve">；详见附件1。</w:t>
      </w:r>
      <w:r/>
    </w:p>
    <w:p>
      <w:pPr>
        <w:numPr>
          <w:ilvl w:val="0"/>
          <w:numId w:val="5"/>
        </w:numPr>
        <w:ind w:left="108" w:right="53" w:firstLine="420"/>
        <w:spacing w:before="25" w:line="360" w:lineRule="auto"/>
        <w:rPr>
          <w:rFonts w:hint="eastAsia" w:ascii="宋体" w:hAnsi="宋体" w:cs="宋体"/>
          <w:color w:val="auto"/>
          <w:spacing w:val="8"/>
          <w:sz w:val="24"/>
          <w:highlight w:val="none"/>
        </w:rPr>
      </w:pPr>
      <w:r>
        <w:rPr>
          <w:rFonts w:hint="eastAsia" w:ascii="宋体" w:hAnsi="宋体" w:cs="宋体"/>
          <w:b/>
          <w:bCs/>
          <w:color w:val="auto"/>
          <w:spacing w:val="10"/>
          <w:sz w:val="24"/>
          <w:highlight w:val="none"/>
        </w:rPr>
        <w:t xml:space="preserve">合同总价款  </w:t>
      </w:r>
      <w:r/>
    </w:p>
    <w:tbl>
      <w:tblPr>
        <w:tblStyle w:val="745"/>
        <w:tblW w:w="463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5056"/>
        <w:gridCol w:w="3124"/>
      </w:tblGrid>
      <w:tr>
        <w:trPr>
          <w:jc w:val="center"/>
          <w:trHeight w:val="431"/>
        </w:trPr>
        <w:tc>
          <w:tcPr>
            <w:tcW w:w="625" w:type="pct"/>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2703" w:type="pct"/>
            <w:vAlign w:val="top"/>
            <w:textDirection w:val="lrTb"/>
            <w:noWrap w:val="false"/>
          </w:tcPr>
          <w:p>
            <w:pPr>
              <w:jc w:val="cente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名称</w:t>
            </w:r>
            <w:r/>
          </w:p>
        </w:tc>
        <w:tc>
          <w:tcPr>
            <w:tcW w:w="1670" w:type="pct"/>
            <w:vAlign w:val="top"/>
            <w:textDirection w:val="lrTb"/>
            <w:noWrap w:val="false"/>
          </w:tcPr>
          <w:p>
            <w:pPr>
              <w:jc w:val="cente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en-US" w:eastAsia="zh-CN"/>
              </w:rPr>
              <w:t xml:space="preserve">中标优惠率</w:t>
            </w:r>
            <w:r>
              <w:rPr>
                <w:rFonts w:hint="eastAsia" w:ascii="宋体" w:hAnsi="宋体" w:cs="宋体"/>
                <w:b/>
                <w:bCs/>
                <w:color w:val="auto"/>
                <w:sz w:val="24"/>
                <w:highlight w:val="none"/>
              </w:rPr>
              <w:t xml:space="preserve">（%）</w:t>
            </w:r>
            <w:r/>
          </w:p>
        </w:tc>
      </w:tr>
      <w:tr>
        <w:trPr>
          <w:jc w:val="center"/>
          <w:trHeight w:val="494"/>
        </w:trPr>
        <w:tc>
          <w:tcPr>
            <w:tcW w:w="625"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1</w:t>
            </w:r>
            <w:r/>
          </w:p>
        </w:tc>
        <w:tc>
          <w:tcPr>
            <w:tcW w:w="2703"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auto"/>
                <w:spacing w:val="8"/>
                <w:sz w:val="24"/>
                <w:highlight w:val="none"/>
                <w:lang w:val="zh-CN" w:eastAsia="zh-CN"/>
              </w:rPr>
            </w:pPr>
            <w:r>
              <w:rPr>
                <w:rFonts w:hint="eastAsia" w:ascii="宋体" w:hAnsi="宋体" w:cs="宋体"/>
                <w:color w:val="auto"/>
                <w:sz w:val="24"/>
                <w:highlight w:val="none"/>
              </w:rPr>
              <w:t xml:space="preserve">水产、肉类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家禽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蛋</w:t>
            </w:r>
            <w:r>
              <w:rPr>
                <w:rFonts w:hint="eastAsia" w:ascii="宋体" w:hAnsi="宋体" w:cs="宋体"/>
                <w:color w:val="auto"/>
                <w:sz w:val="24"/>
                <w:highlight w:val="none"/>
                <w:lang w:eastAsia="zh-CN"/>
              </w:rPr>
              <w:t xml:space="preserve">）</w:t>
            </w:r>
            <w:r/>
          </w:p>
        </w:tc>
        <w:tc>
          <w:tcPr>
            <w:tcW w:w="1670"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494"/>
        </w:trPr>
        <w:tc>
          <w:tcPr>
            <w:tcW w:w="625"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2</w:t>
            </w:r>
            <w:r/>
          </w:p>
        </w:tc>
        <w:tc>
          <w:tcPr>
            <w:tcW w:w="2703" w:type="pct"/>
            <w:vAlign w:val="center"/>
            <w:textDirection w:val="lrTb"/>
            <w:noWrap w:val="false"/>
          </w:tcPr>
          <w:p>
            <w:pPr>
              <w:jc w:val="center"/>
              <w:keepLines w:val="0"/>
              <w:keepNext w:val="0"/>
              <w:pageBreakBefore w:val="0"/>
              <w:spacing w:line="460" w:lineRule="exact"/>
              <w:widowControl w:val="off"/>
              <w:rPr>
                <w:rFonts w:hint="eastAsia" w:ascii="宋体" w:hAnsi="宋体" w:cs="宋体"/>
                <w:color w:val="auto"/>
                <w:spacing w:val="8"/>
                <w:sz w:val="24"/>
                <w:highlight w:val="none"/>
                <w:lang w:val="zh-CN"/>
              </w:rPr>
            </w:pPr>
            <w:r>
              <w:rPr>
                <w:rFonts w:hint="eastAsia" w:ascii="宋体" w:hAnsi="宋体" w:cs="宋体"/>
                <w:color w:val="auto"/>
                <w:sz w:val="24"/>
                <w:highlight w:val="none"/>
              </w:rPr>
              <w:t xml:space="preserve">冷冻制品</w:t>
            </w:r>
            <w:r/>
          </w:p>
        </w:tc>
        <w:tc>
          <w:tcPr>
            <w:tcW w:w="1670"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494"/>
        </w:trPr>
        <w:tc>
          <w:tcPr>
            <w:tcW w:w="625"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3</w:t>
            </w:r>
            <w:r/>
          </w:p>
        </w:tc>
        <w:tc>
          <w:tcPr>
            <w:tcW w:w="2703" w:type="pct"/>
            <w:vAlign w:val="center"/>
            <w:textDirection w:val="lrTb"/>
            <w:noWrap w:val="false"/>
          </w:tcPr>
          <w:p>
            <w:pPr>
              <w:jc w:val="center"/>
              <w:keepLines w:val="0"/>
              <w:keepNext w:val="0"/>
              <w:pageBreakBefore w:val="0"/>
              <w:spacing w:line="460" w:lineRule="exact"/>
              <w:widowControl w:val="off"/>
              <w:rPr>
                <w:rFonts w:hint="eastAsia" w:ascii="宋体" w:hAnsi="宋体" w:cs="宋体"/>
                <w:color w:val="auto"/>
                <w:spacing w:val="8"/>
                <w:sz w:val="24"/>
                <w:highlight w:val="none"/>
                <w:lang w:val="zh-CN"/>
              </w:rPr>
            </w:pPr>
            <w:r>
              <w:rPr>
                <w:rFonts w:hint="eastAsia" w:ascii="宋体" w:hAnsi="宋体" w:cs="宋体"/>
                <w:color w:val="auto"/>
                <w:sz w:val="24"/>
                <w:highlight w:val="none"/>
              </w:rPr>
              <w:t xml:space="preserve">蔬菜类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豆制品</w:t>
            </w:r>
            <w:r/>
          </w:p>
        </w:tc>
        <w:tc>
          <w:tcPr>
            <w:tcW w:w="1670"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r>
        <w:trPr>
          <w:jc w:val="center"/>
          <w:trHeight w:val="494"/>
        </w:trPr>
        <w:tc>
          <w:tcPr>
            <w:tcW w:w="625"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4</w:t>
            </w:r>
            <w:r/>
          </w:p>
        </w:tc>
        <w:tc>
          <w:tcPr>
            <w:tcW w:w="2703" w:type="pct"/>
            <w:vAlign w:val="center"/>
            <w:textDirection w:val="lrTb"/>
            <w:noWrap w:val="false"/>
          </w:tcPr>
          <w:p>
            <w:pPr>
              <w:jc w:val="center"/>
              <w:keepLines w:val="0"/>
              <w:keepNext w:val="0"/>
              <w:pageBreakBefore w:val="0"/>
              <w:spacing w:line="460" w:lineRule="exact"/>
              <w:widowControl w:val="off"/>
              <w:rPr>
                <w:rFonts w:hint="eastAsia" w:ascii="宋体" w:hAnsi="宋体" w:cs="宋体"/>
                <w:color w:val="auto"/>
                <w:spacing w:val="8"/>
                <w:sz w:val="24"/>
                <w:highlight w:val="none"/>
                <w:lang w:val="zh-CN"/>
              </w:rPr>
            </w:pPr>
            <w:r>
              <w:rPr>
                <w:rFonts w:hint="eastAsia" w:ascii="宋体" w:hAnsi="宋体" w:cs="宋体"/>
                <w:color w:val="auto"/>
                <w:sz w:val="24"/>
                <w:highlight w:val="none"/>
                <w:lang w:val="en-US" w:eastAsia="zh-CN"/>
              </w:rPr>
              <w:t xml:space="preserve">粮油及</w:t>
            </w:r>
            <w:r>
              <w:rPr>
                <w:rFonts w:hint="eastAsia" w:ascii="宋体" w:hAnsi="宋体" w:cs="宋体"/>
                <w:color w:val="auto"/>
                <w:sz w:val="24"/>
                <w:highlight w:val="none"/>
              </w:rPr>
              <w:t xml:space="preserve">其他类</w:t>
            </w:r>
            <w:r/>
          </w:p>
        </w:tc>
        <w:tc>
          <w:tcPr>
            <w:tcW w:w="1670" w:type="pct"/>
            <w:vAlign w:val="bottom"/>
            <w:textDirection w:val="lrTb"/>
            <w:noWrap w:val="false"/>
          </w:tcPr>
          <w:p>
            <w:pPr>
              <w:jc w:val="cente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r>
    </w:tbl>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本合同总价款是</w:t>
      </w:r>
      <w:r>
        <w:rPr>
          <w:rFonts w:hint="eastAsia" w:ascii="宋体" w:hAnsi="宋体" w:cs="宋体"/>
          <w:color w:val="auto"/>
          <w:sz w:val="24"/>
          <w:highlight w:val="none"/>
        </w:rPr>
        <w:t xml:space="preserve">包含：商品价、运输费（含装卸费）、人工费、保险费、税费、培训费、货物送到甲方指定地点等的所有费用</w:t>
      </w:r>
      <w:r>
        <w:rPr>
          <w:rFonts w:hint="eastAsia" w:ascii="宋体" w:hAnsi="宋体" w:cs="宋体"/>
          <w:color w:val="auto"/>
          <w:spacing w:val="8"/>
          <w:sz w:val="24"/>
          <w:highlight w:val="none"/>
        </w:rPr>
        <w:t xml:space="preserve">，以及乙方认为需要的其他费用等。</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本合同总价款还包含乙方应当提供的伴随服务/售后服务费用。</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本合同执行期间合同总价款不得突破预算价，如突破预算价，按预算价进行结算。</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组成本合同的有关文件  </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下列关于</w:t>
      </w:r>
      <w:r>
        <w:rPr>
          <w:rFonts w:hint="eastAsia" w:ascii="宋体" w:hAnsi="宋体" w:cs="宋体"/>
          <w:color w:val="auto"/>
          <w:spacing w:val="8"/>
          <w:sz w:val="24"/>
          <w:highlight w:val="none"/>
          <w:u w:val="single"/>
        </w:rPr>
        <w:t xml:space="preserve">  </w:t>
      </w:r>
      <w:r>
        <w:rPr>
          <w:rFonts w:hint="eastAsia" w:ascii="宋体" w:hAnsi="宋体" w:cs="宋体"/>
          <w:color w:val="auto"/>
          <w:sz w:val="24"/>
          <w:highlight w:val="none"/>
          <w:u w:val="single"/>
          <w:lang w:eastAsia="zh-CN"/>
        </w:rPr>
        <w:t xml:space="preserve">2026年度南京市公安局高淳分局食堂食材采购服务</w:t>
      </w:r>
      <w:r>
        <w:rPr>
          <w:rFonts w:hint="eastAsia" w:ascii="宋体" w:hAnsi="宋体" w:cs="宋体"/>
          <w:color w:val="auto"/>
          <w:spacing w:val="8"/>
          <w:sz w:val="24"/>
          <w:highlight w:val="none"/>
          <w:u w:val="single"/>
        </w:rPr>
        <w:t xml:space="preserve">  </w:t>
      </w:r>
      <w:r>
        <w:rPr>
          <w:rFonts w:hint="eastAsia" w:ascii="宋体" w:hAnsi="宋体" w:cs="宋体"/>
          <w:color w:val="auto"/>
          <w:spacing w:val="8"/>
          <w:sz w:val="24"/>
          <w:highlight w:val="none"/>
        </w:rPr>
        <w:t xml:space="preserve">标的招投标文件或与本次采购活动方式相适应的文件及有关附件是本合同不可分割的组成部分，与本合同具有同等法律效力，这些文件包括但不限于：</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（1）乙方提供的投标文件和投标报价表；  （2）供货一览表；</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（3）交货一览表；                     （4）技术规格响应表；</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（5）投标承诺；                       （6）服务承诺；</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（7）中标通知书；                     （8） 甲乙双方商定的其他文件等。</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前述组成本合同的文件如有不一致之处，以采购人指定为准。</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权利保证</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乙方应保证甲方在使用该货物或其任何一部分时不受第三方提出侵犯其专利权、版权、商标权或其他权利的起诉。一旦出现侵权，乙方应承担全部责任。</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质量保证</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乙方所提供的货物的技术规格应与招标文件规定的技术规格及所附的“技术规格响应表”相一致；若技术性能无特殊说明，则按国家有关部门最新颁布的标准及规范为准。</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乙方保证</w:t>
      </w:r>
      <w:r>
        <w:rPr>
          <w:rFonts w:hint="eastAsia" w:ascii="宋体" w:hAnsi="宋体" w:cs="宋体"/>
          <w:color w:val="auto"/>
          <w:sz w:val="24"/>
          <w:highlight w:val="none"/>
        </w:rPr>
        <w:t xml:space="preserve">所供的食材均符合《中华人民共和国食品安全法》《中华人民共和国食品安全法实施</w:t>
      </w:r>
      <w:r>
        <w:rPr>
          <w:rFonts w:hint="eastAsia" w:ascii="宋体" w:hAnsi="宋体" w:cs="宋体"/>
          <w:color w:val="auto"/>
          <w:spacing w:val="8"/>
          <w:sz w:val="24"/>
          <w:highlight w:val="none"/>
        </w:rPr>
        <w:t xml:space="preserve">条例》《中华人民共和国农产品质量安全法》《中华人民共和国动物防疫法》等相关规定，严格保证食品质量符合国家相关产品质理标准，符合国家各级强制性规范要求。在甲方出现因食品质量导致食物中毒的事故发生，乙方承担一切法律责任，并取消其供货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质量要求：严格禁止供应如下食品，一经发现，取消其供货资格：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（1）腐败变质、油脂酸败、霉变、生虫、污秽不洁、混有异物或其他感官性状异常，对人体有害的；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（2）含有毒、有害物质或被有害物质污染，对人体身体健康有害的；含有严重超出标准限量的农药残留、兽药残留、重金属、污染物质以及其他危害人体健康的；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（3）未经动物部门检疫、检验或者检疫、检验不合格的肉类及其制品；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（4）病死、毒死或不明死因的禽、蓄、兽、水产动物等及其制品；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（5）用非食品原料加工的，加入非食品用化学物质或将非食品当作食品的。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（6）其他经相关部门及甲方确认的质量问题。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因市场特殊原因，个别食材品种不能及时提供，乙方应主动与甲方沟通协调，更换品种，满足需要。 所有商品因验收货物时不能直接判断质量的，在使用过程中发现不合格商品，乙方应作退货处理。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物资验收中不合格产品，乙方应按照甲方规定时间内调换，以不影响正常工作。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因配送物资质量导致出现食品安全事故，乙方有义务协助处理相关事宜。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依据产品质量监督检验单位提供的质量标准，乙方提供的食材必须取得经过质量监督管理部门检验合格的产品，每批次产品提供时应交存产品质量合格证明、产品质量检测合格报告或检验报告复印件。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甲方对食材提出的质量异议时，乙方须保证在60分钟以内作出答复，并妥善商处。无法在60分钟内解决的，应在三个小时内提供备用产品，使甲方能够正常使用。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每次供货交接完成后，乙方须对供货清单中的食材进行留样。</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包装要求</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除合同另有规定外，乙方提供的全部货物均应按标准保护措施进行包装。该包装应适应于远距离运输、防潮，以确保货物安全无损运抵指定地点。由于包装不善所引起的货物 损失均由乙方承担。</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交货和验收</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乙方应当在合同签订后将食材送至甲方指定地点，。</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甲方食堂所需蔬菜类食材，乙方须每天（含节假日）</w:t>
      </w:r>
      <w:r>
        <w:rPr>
          <w:rFonts w:hint="eastAsia" w:ascii="宋体" w:hAnsi="宋体" w:cs="宋体"/>
          <w:color w:val="auto"/>
          <w:spacing w:val="8"/>
          <w:sz w:val="24"/>
          <w:highlight w:val="none"/>
          <w:lang w:val="en-US" w:eastAsia="zh-CN"/>
        </w:rPr>
        <w:t xml:space="preserve">按</w:t>
      </w:r>
      <w:r>
        <w:rPr>
          <w:rFonts w:hint="eastAsia" w:ascii="宋体" w:hAnsi="宋体" w:cs="宋体"/>
          <w:color w:val="auto"/>
          <w:sz w:val="24"/>
          <w:highlight w:val="none"/>
          <w:lang w:val="en-US" w:eastAsia="zh-CN"/>
        </w:rPr>
        <w:t xml:space="preserve">采购人</w:t>
      </w:r>
      <w:r>
        <w:rPr>
          <w:rFonts w:hint="eastAsia" w:ascii="宋体" w:hAnsi="宋体" w:cs="宋体"/>
          <w:color w:val="auto"/>
          <w:spacing w:val="8"/>
          <w:sz w:val="24"/>
          <w:highlight w:val="none"/>
          <w:lang w:val="en-US" w:eastAsia="zh-CN"/>
        </w:rPr>
        <w:t xml:space="preserve">规定的时间</w:t>
      </w:r>
      <w:r>
        <w:rPr>
          <w:rFonts w:hint="eastAsia" w:ascii="宋体" w:hAnsi="宋体" w:cs="宋体"/>
          <w:color w:val="auto"/>
          <w:spacing w:val="8"/>
          <w:sz w:val="24"/>
          <w:highlight w:val="none"/>
        </w:rPr>
        <w:t xml:space="preserve">前送达至甲方指定地点。食堂所需肉类食材，根据甲方前一天17：30之前出具货品清单，乙方</w:t>
      </w:r>
      <w:r>
        <w:rPr>
          <w:rFonts w:hint="eastAsia" w:ascii="宋体" w:hAnsi="宋体" w:cs="宋体"/>
          <w:color w:val="auto"/>
          <w:spacing w:val="8"/>
          <w:sz w:val="24"/>
          <w:highlight w:val="none"/>
          <w:lang w:val="en-US" w:eastAsia="zh-CN"/>
        </w:rPr>
        <w:t xml:space="preserve">按</w:t>
      </w:r>
      <w:r>
        <w:rPr>
          <w:rFonts w:hint="eastAsia" w:ascii="宋体" w:hAnsi="宋体" w:cs="宋体"/>
          <w:color w:val="auto"/>
          <w:sz w:val="24"/>
          <w:highlight w:val="none"/>
          <w:lang w:val="en-US" w:eastAsia="zh-CN"/>
        </w:rPr>
        <w:t xml:space="preserve">采购人</w:t>
      </w:r>
      <w:r>
        <w:rPr>
          <w:rFonts w:hint="eastAsia" w:ascii="宋体" w:hAnsi="宋体" w:cs="宋体"/>
          <w:color w:val="auto"/>
          <w:spacing w:val="8"/>
          <w:sz w:val="24"/>
          <w:highlight w:val="none"/>
          <w:lang w:val="en-US" w:eastAsia="zh-CN"/>
        </w:rPr>
        <w:t xml:space="preserve">规定的时间</w:t>
      </w:r>
      <w:r>
        <w:rPr>
          <w:rFonts w:hint="eastAsia" w:ascii="宋体" w:hAnsi="宋体" w:cs="宋体"/>
          <w:color w:val="auto"/>
          <w:spacing w:val="8"/>
          <w:sz w:val="24"/>
          <w:highlight w:val="none"/>
        </w:rPr>
        <w:t xml:space="preserve">前送达至</w:t>
      </w:r>
      <w:r>
        <w:rPr>
          <w:rFonts w:hint="eastAsia" w:ascii="宋体" w:hAnsi="宋体" w:cs="宋体"/>
          <w:color w:val="auto"/>
          <w:sz w:val="24"/>
          <w:highlight w:val="none"/>
          <w:lang w:val="en-US" w:eastAsia="zh-CN"/>
        </w:rPr>
        <w:t xml:space="preserve">采购人</w:t>
      </w:r>
      <w:r>
        <w:rPr>
          <w:rFonts w:hint="eastAsia" w:ascii="宋体" w:hAnsi="宋体" w:cs="宋体"/>
          <w:color w:val="auto"/>
          <w:spacing w:val="8"/>
          <w:sz w:val="24"/>
          <w:highlight w:val="none"/>
        </w:rPr>
        <w:t xml:space="preserve">指定地点。</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甲方有权根据乙方实际供货能力调整配送时间段，乙方须无条件按甲方要求执行。</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甲方可根据自身需求以及对货物的品质要求，随时有权终止某些商品的采购或变更,有权选择或指定合适的乙方(供应点)交由乙方负责定点采购,据实结算，乙方不得以任何理由拒绝。</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须具备应急服务能力，且有长期驻地人员，有一定的处理紧急情况的经验。如遇节假日、甲方临时有大批量食材采购或紧急采购任务时，乙方须承诺在接到甲方通知后，一小时内将指定食材运送至甲方指定地点并卸货，派专人负责跟踪服务，保证食材准时准点供应，如推迟送货的，甲方有权拒绝验收签单。</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甲方每天上午集中收货、验收一次，乙方需将当日需要的所有食材、商品一次性打包密闭送达，不得将项目分包给多家乙方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 </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提供货物未达到招标文件规定要求，且对甲方造成损失的，由乙方承担一切责任，并赔偿所造成损失。超过收货时间送货的，甲方有权拒绝收货。</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凡按重量计量物资，均以物品净重方式计量结算。 </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所有货物送达甲方指定地点前必须按包装要求进行封闭装运。</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伴随服务／售后服务</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质保期限：所有有保质期的食材在配送到采购人单位时，剩余保质期不得低于总保质期的一半。 </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售后服务：</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1.乙方的配送服务必须为乙方为本项目设立的本公司供货组人员进行配送，不得委托第三方单位进行配送服务，一经发现，取消其配送资格。</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2.乙方应配备相应的采购配送人员、采购配送车，实行专人专车进行配送，需冷链运输的需配备冷藏车辆，并负责人员和车辆的安全和管理，保证人员和车辆遵守采购人相关规定。 </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配送人员必须取得卫生部门出具的健康证，工作时做到个人仪表整洁，送货时必须佩带经营单位的食品配送上岗证。乙方要加强对来院工作人员的管理教育，应服从甲方的管理，不得私自在加工区域外逗留，不得有偷窃、夹带等违规情况，如经发现将严肃处理。</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（2）配送车辆上必须粘贴配送标识，车辆要保持清洁，在食材配送过程中不得与其他产品混装。</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（3）供货车（人员）在院内发生安全事故的，将根据情况通过扣除履约保证金或司法程序进行处理。</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3.乙方在配送服务过程中应遵守甲方单位的各项规章制度，不得与甲方单位或人员发生各种不文明行为，如遇不可解决之矛盾应以沟通为主，相互谅解。</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4.乙方应建立进货查验记录制度与食材安全追溯体系，建立票、据、证档案，甲方有权定期检查。</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5.乙方应承诺，如中标后同意提供甲方要求的与其投标有关的一切数据和资料，并保证其所提供数据资料的真实性与准确性。</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6.培训：乙方应不断对其人员进行专业培训，以完成工作任务。</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履约保函</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金额：</w:t>
      </w:r>
      <w:r>
        <w:rPr>
          <w:rFonts w:hint="eastAsia" w:ascii="宋体" w:hAnsi="宋体" w:cs="宋体"/>
          <w:color w:val="auto"/>
          <w:spacing w:val="8"/>
          <w:sz w:val="24"/>
          <w:highlight w:val="none"/>
          <w:lang w:val="en-US" w:eastAsia="zh-CN"/>
        </w:rPr>
        <w:t xml:space="preserve">贰万元</w:t>
      </w:r>
      <w:r>
        <w:rPr>
          <w:rFonts w:hint="eastAsia" w:ascii="宋体" w:hAnsi="宋体" w:cs="宋体"/>
          <w:color w:val="auto"/>
          <w:spacing w:val="8"/>
          <w:sz w:val="24"/>
          <w:highlight w:val="none"/>
        </w:rPr>
        <w:t xml:space="preserve">；</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方式：银行保函；</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递交时间：收到中标通知书20个自然日内递交至甲方；</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退还时间：合同到期后30个自然日内，甲方扣除相应的金额后将履约保证金无息退还至乙方账户。</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合同款支付</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甲乙双方每月上旬对上月费用进行对帐，品种、价格以确认单为准，数量、质量以过磅验收结果为准，</w:t>
      </w:r>
      <w:r>
        <w:rPr>
          <w:rFonts w:hint="eastAsia" w:ascii="宋体" w:hAnsi="宋体" w:cs="宋体"/>
          <w:color w:val="auto"/>
          <w:spacing w:val="8"/>
          <w:sz w:val="24"/>
          <w:highlight w:val="none"/>
          <w:lang w:val="en-US" w:eastAsia="zh-CN"/>
        </w:rPr>
        <w:t xml:space="preserve">并提供以下相关资料：</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1.乙方提供电脑打印供货清单（含供应食材种类、数量）；</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2.经甲方相关人员验收签收凭证（一式两份，双方签字）；</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3.甲方根据实际情况要求的其他材料等。</w:t>
      </w:r>
      <w:r/>
    </w:p>
    <w:p>
      <w:pPr>
        <w:ind w:left="109" w:right="53" w:firstLine="419"/>
        <w:spacing w:before="23" w:line="360" w:lineRule="auto"/>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上述材料经双方核实确认无误后，由乙方提供相应的等额发票</w:t>
      </w:r>
      <w:r>
        <w:rPr>
          <w:rFonts w:hint="eastAsia" w:ascii="宋体" w:hAnsi="宋体" w:cs="宋体"/>
          <w:color w:val="auto"/>
          <w:spacing w:val="8"/>
          <w:sz w:val="24"/>
          <w:highlight w:val="none"/>
          <w:lang w:eastAsia="zh-CN"/>
        </w:rPr>
        <w:t xml:space="preserve">，在3个月后的10个工作日内付清相应款项。</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乙方结算食材价款时须严格按照折扣后进行计算申报，其提供的所有结算资料均须真实有效、准确详实、有迹可循，如经甲方发现弄虚作假，一经查实，甲方将解除合同，并依法追究乙方的经济和法律责任。</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基准单价计算方式：</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1.所供食材种类单价</w:t>
      </w:r>
      <w:r>
        <w:rPr>
          <w:rFonts w:hint="eastAsia" w:ascii="宋体" w:hAnsi="宋体" w:cs="宋体"/>
          <w:b/>
          <w:bCs/>
          <w:color w:val="auto"/>
          <w:sz w:val="24"/>
          <w:highlight w:val="none"/>
          <w:lang w:val="en-US" w:eastAsia="zh-CN"/>
        </w:rPr>
        <w:t xml:space="preserve">按</w:t>
      </w:r>
      <w:r>
        <w:rPr>
          <w:rFonts w:hint="eastAsia" w:ascii="宋体" w:hAnsi="宋体" w:cs="宋体"/>
          <w:b/>
          <w:bCs/>
          <w:color w:val="auto"/>
          <w:sz w:val="24"/>
          <w:highlight w:val="none"/>
        </w:rPr>
        <w:t xml:space="preserve">高淳区天河市场同期同品种食材</w:t>
      </w:r>
      <w:r>
        <w:rPr>
          <w:rFonts w:hint="eastAsia" w:ascii="宋体" w:hAnsi="宋体" w:cs="宋体"/>
          <w:b/>
          <w:bCs/>
          <w:color w:val="auto"/>
          <w:sz w:val="24"/>
          <w:highlight w:val="none"/>
          <w:lang w:val="en-US" w:eastAsia="zh-CN"/>
        </w:rPr>
        <w:t xml:space="preserve">价为基准单价</w:t>
      </w:r>
      <w:r>
        <w:rPr>
          <w:rFonts w:hint="eastAsia" w:ascii="宋体" w:hAnsi="宋体" w:cs="宋体"/>
          <w:b/>
          <w:bCs/>
          <w:color w:val="auto"/>
          <w:sz w:val="24"/>
          <w:highlight w:val="none"/>
        </w:rPr>
        <w:t xml:space="preserve">。</w:t>
      </w:r>
      <w:r/>
    </w:p>
    <w:p>
      <w:pPr>
        <w:pStyle w:val="759"/>
        <w:ind w:left="0" w:firstLine="482"/>
        <w:rPr>
          <w:rFonts w:hint="default" w:eastAsia="宋体"/>
          <w:color w:val="auto"/>
          <w:highlight w:val="none"/>
          <w:lang w:val="en-US"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.如所供食材种类天河市场未明确的由采购人和供应商自行协商确定。</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在合同期内，如发现乙方报价高于基准价格的，第一次当天送货总金额按八折结算；第二次按照当月送货总金额八折结算；第三次取消供货资格。</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乙方以每月经甲方核定后的价格为下月食材供应价格。</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乙方食材结算单价=取食材核定零售价*中标</w:t>
      </w:r>
      <w:r>
        <w:rPr>
          <w:rFonts w:hint="eastAsia" w:ascii="宋体" w:hAnsi="宋体" w:cs="宋体"/>
          <w:color w:val="auto"/>
          <w:spacing w:val="8"/>
          <w:sz w:val="24"/>
          <w:highlight w:val="none"/>
          <w:lang w:val="en-US" w:eastAsia="zh-CN"/>
        </w:rPr>
        <w:t xml:space="preserve">费率</w:t>
      </w:r>
      <w:r>
        <w:rPr>
          <w:rFonts w:hint="eastAsia" w:ascii="宋体" w:hAnsi="宋体" w:cs="宋体"/>
          <w:color w:val="auto"/>
          <w:spacing w:val="8"/>
          <w:sz w:val="24"/>
          <w:highlight w:val="none"/>
        </w:rPr>
        <w:t xml:space="preserve">。</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违约责任</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甲方如临时增加用餐人员，需临时补充食材的，乙方应在约定时间内无条件把指定的食材送至指定的地点，否则每次扣除履约保证金1000-3000元，三次及以上的没收全部履约保证金并解除合作关系。</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凡经相关部门认定，如因乙方所提供的原食材原因造成食物中毒等卫生事故的，乙方除必须承担全部的法律责任外，还要全额承担因食物中毒发生造成后果的一切费用，并立即停止供货，并暂扣当月所有供应原食材的货款作为赔偿预付款。</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凡乙方向甲方提供的食材发生质量问题，影响食用，经验收小组确认，乙方须重新配送合格食材；甲方将扣除履约保证金1000-3000元，三次以上没收全部履约保证金并解除合同。</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甲方将每三个月组织专人对乙方所供食材的质量报送质检部门抽检，检测费用由乙方承担。若发现食材质量检测结果与招标文件或投标文件或与国家规定的质量标准不符，甲方有权没收履约保证金、解除合同等。</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凡乙方供应的食材故意串规、定量包装批量误差超过相关规定，一经查实，</w:t>
      </w:r>
      <w:r>
        <w:rPr>
          <w:rFonts w:hint="eastAsia" w:ascii="宋体" w:hAnsi="宋体" w:cs="宋体"/>
          <w:color w:val="auto"/>
          <w:spacing w:val="8"/>
          <w:sz w:val="24"/>
          <w:highlight w:val="none"/>
          <w:lang w:val="en-US" w:eastAsia="zh-CN"/>
        </w:rPr>
        <w:t xml:space="preserve">解除合同</w:t>
      </w:r>
      <w:r>
        <w:rPr>
          <w:rFonts w:hint="eastAsia" w:ascii="宋体" w:hAnsi="宋体" w:cs="宋体"/>
          <w:color w:val="auto"/>
          <w:spacing w:val="8"/>
          <w:sz w:val="24"/>
          <w:highlight w:val="none"/>
        </w:rPr>
        <w:t xml:space="preserve">。</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如乙方延迟交货或配送货物不符合订单要求，乙方须按甲方要求及时补货、换货或退货。对于上述情况的发生，前两次甲方将予以警告，第三次甲方有权直接解除合同并没收其全部履约保证金。</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如乙方在项目实施期间出现违背投标时的承诺，或经营异常，或丧失商业信誉，或产品被曝光不合格或被政府部门取缔相关生产经营资格的情况，甲方有权直接解除合同并没收其履约保证金。</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考核标准：结合每个月考核得出总分，如总分90分（含90分）以上不处罚，80分(含)-90分(不含)每下降一分扣100元；70分（含）-80分（不含）每下降一分扣200元；60分（含）-70分（不含）每下降一分扣300元；60分（不含）以下不合格，采购人有权解除合同，并没收其履约保证金。乙方须对所有扣分项做出书面整改承诺。甲方有权直接从履约保证金中扣除。详见附件3。</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合同的变更和终止</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1、除《政府采购法》第 50 条规定的情形外，本合同一经签订，甲乙双方不得擅自变更、中止或终止合同。</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2、除发生法律规定的不能预见、不能避免并不能克服的客观情况外，甲乙双方不得放弃或拒绝履行合同。乙方放弃或拒绝履行合同，保证金不予退还。</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合同的转让</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乙方不得擅自部分或全部转让其应履行的合同义务，如有，甲方有权解除合同，保证金不予退还。</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争议的解决</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2、因履行本合同引起的或与本合同有关的争议， 甲、乙双方应首先通过友好协商解决，如果协商不能解决争议，则采取以下第（1）种方式解决争议：</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（1）向甲方所在地有管辖权的人民法院提起诉讼；</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（2）向南京仲裁委员会按其仲裁规则申请仲裁。</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3、在诉讼期间，本合同应继续履行。</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诚实信用</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乙方应诚实信用，严格按照招标文件要求和投标承诺履行合同，不向甲方进行商业贿赂或者提供不正当利益。</w:t>
      </w:r>
      <w:r/>
    </w:p>
    <w:p>
      <w:pPr>
        <w:numPr>
          <w:ilvl w:val="0"/>
          <w:numId w:val="5"/>
        </w:numPr>
        <w:ind w:left="108" w:right="53" w:firstLine="420"/>
        <w:spacing w:before="25" w:line="360" w:lineRule="auto"/>
        <w:rPr>
          <w:rFonts w:hint="eastAsia" w:ascii="宋体" w:hAnsi="宋体" w:cs="宋体"/>
          <w:b/>
          <w:bCs/>
          <w:color w:val="auto"/>
          <w:spacing w:val="10"/>
          <w:sz w:val="24"/>
          <w:highlight w:val="none"/>
        </w:rPr>
      </w:pPr>
      <w:r>
        <w:rPr>
          <w:rFonts w:hint="eastAsia" w:ascii="宋体" w:hAnsi="宋体" w:cs="宋体"/>
          <w:b/>
          <w:bCs/>
          <w:color w:val="auto"/>
          <w:spacing w:val="10"/>
          <w:sz w:val="24"/>
          <w:highlight w:val="none"/>
        </w:rPr>
        <w:t xml:space="preserve">合同生效及其他</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乙方递交履约保函后，本合同自签订之日起生效。</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本合同</w:t>
      </w:r>
      <w:r>
        <w:rPr>
          <w:rFonts w:hint="eastAsia" w:ascii="宋体" w:hAnsi="宋体" w:cs="宋体"/>
          <w:color w:val="auto"/>
          <w:sz w:val="24"/>
          <w:highlight w:val="none"/>
        </w:rPr>
        <w:t xml:space="preserve">一式四份，甲乙双方各执二份</w:t>
      </w:r>
      <w:r>
        <w:rPr>
          <w:rFonts w:hint="eastAsia" w:ascii="宋体" w:hAnsi="宋体" w:cs="宋体"/>
          <w:color w:val="auto"/>
          <w:spacing w:val="8"/>
          <w:sz w:val="24"/>
          <w:highlight w:val="none"/>
        </w:rPr>
        <w:t xml:space="preserve">。</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本合同应按照中华人民共和国的现行法律进行解释。</w:t>
      </w:r>
      <w:r/>
    </w:p>
    <w:p>
      <w:pPr>
        <w:ind w:left="109" w:right="53" w:firstLine="419"/>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其他：</w:t>
      </w:r>
      <w:r/>
    </w:p>
    <w:p>
      <w:pPr>
        <w:ind w:left="109" w:right="53" w:firstLine="419"/>
        <w:jc w:val="left"/>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附件1：采购品种</w:t>
      </w:r>
      <w:r/>
    </w:p>
    <w:p>
      <w:pPr>
        <w:ind w:left="109" w:right="53" w:firstLine="419"/>
        <w:jc w:val="left"/>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附件2：验收标准</w:t>
      </w:r>
      <w:r/>
    </w:p>
    <w:p>
      <w:pPr>
        <w:ind w:left="109" w:right="53" w:firstLine="419"/>
        <w:jc w:val="left"/>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附件3：考核标准</w:t>
      </w:r>
      <w:r/>
    </w:p>
    <w:p>
      <w:pPr>
        <w:ind w:left="109" w:right="53" w:firstLine="419"/>
        <w:jc w:val="left"/>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附件4：食堂乙方食品安全责任书</w:t>
      </w:r>
      <w:r/>
    </w:p>
    <w:p>
      <w:pPr>
        <w:ind w:left="109" w:right="53" w:firstLine="419"/>
        <w:jc w:val="left"/>
        <w:spacing w:before="23"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附件5：廉洁合同</w:t>
      </w:r>
      <w:r/>
    </w:p>
    <w:p>
      <w:pPr>
        <w:pStyle w:val="999"/>
        <w:rPr>
          <w:rFonts w:hint="eastAsia" w:ascii="宋体" w:hAnsi="宋体" w:cs="宋体"/>
          <w:color w:val="auto"/>
          <w:spacing w:val="8"/>
          <w:szCs w:val="24"/>
          <w:highlight w:val="none"/>
        </w:rPr>
      </w:pPr>
      <w:r>
        <w:rPr>
          <w:rFonts w:hint="eastAsia" w:ascii="宋体" w:hAnsi="宋体" w:cs="宋体"/>
          <w:color w:val="auto"/>
          <w:spacing w:val="8"/>
          <w:szCs w:val="24"/>
          <w:highlight w:val="none"/>
        </w:rPr>
      </w:r>
      <w:r/>
    </w:p>
    <w:p>
      <w:pPr>
        <w:pStyle w:val="999"/>
        <w:rPr>
          <w:rFonts w:hint="eastAsia" w:ascii="宋体" w:hAnsi="宋体" w:cs="宋体"/>
          <w:color w:val="auto"/>
          <w:spacing w:val="8"/>
          <w:szCs w:val="24"/>
          <w:highlight w:val="none"/>
        </w:rPr>
      </w:pPr>
      <w:r>
        <w:rPr>
          <w:rFonts w:hint="eastAsia" w:ascii="宋体" w:hAnsi="宋体" w:cs="宋体"/>
          <w:color w:val="auto"/>
          <w:spacing w:val="8"/>
          <w:szCs w:val="24"/>
          <w:highlight w:val="none"/>
        </w:rPr>
      </w:r>
      <w:r/>
    </w:p>
    <w:p>
      <w:pPr>
        <w:pStyle w:val="999"/>
        <w:rPr>
          <w:rFonts w:ascii="宋体" w:hAnsi="宋体" w:cs="宋体"/>
          <w:color w:val="auto"/>
          <w:spacing w:val="8"/>
          <w:szCs w:val="24"/>
          <w:highlight w:val="none"/>
        </w:rPr>
      </w:pPr>
      <w:r>
        <w:rPr>
          <w:rFonts w:ascii="宋体" w:hAnsi="宋体" w:cs="宋体"/>
          <w:color w:val="auto"/>
          <w:spacing w:val="8"/>
          <w:szCs w:val="24"/>
          <w:highlight w:val="none"/>
        </w:rPr>
      </w:r>
      <w:r/>
    </w:p>
    <w:p>
      <w:pPr>
        <w:ind w:left="27"/>
        <w:spacing w:before="26" w:line="360" w:lineRule="auto"/>
        <w:rPr>
          <w:rFonts w:hint="eastAsia" w:ascii="宋体" w:hAnsi="宋体" w:cs="宋体"/>
          <w:color w:val="auto"/>
          <w:sz w:val="24"/>
          <w:highlight w:val="none"/>
        </w:rPr>
      </w:pPr>
      <w:r>
        <w:rPr>
          <w:rFonts w:hint="eastAsia" w:ascii="宋体" w:hAnsi="宋体" w:cs="宋体"/>
          <w:color w:val="auto"/>
          <w:spacing w:val="8"/>
          <w:sz w:val="24"/>
          <w:highlight w:val="none"/>
        </w:rPr>
        <w:t xml:space="preserve">甲方（采购人</w:t>
      </w:r>
      <w:r>
        <w:rPr>
          <w:rFonts w:hint="eastAsia" w:ascii="宋体" w:hAnsi="宋体" w:cs="宋体"/>
          <w:color w:val="auto"/>
          <w:spacing w:val="1"/>
          <w:sz w:val="24"/>
          <w:highlight w:val="none"/>
        </w:rPr>
        <w:t xml:space="preserve">）：（</w:t>
      </w:r>
      <w:r>
        <w:rPr>
          <w:rFonts w:hint="eastAsia" w:ascii="宋体" w:hAnsi="宋体" w:cs="宋体"/>
          <w:color w:val="auto"/>
          <w:spacing w:val="8"/>
          <w:sz w:val="24"/>
          <w:highlight w:val="none"/>
        </w:rPr>
        <w:t xml:space="preserve">盖章）</w:t>
      </w:r>
      <w:r>
        <w:rPr>
          <w:rFonts w:hint="eastAsia" w:ascii="宋体" w:hAnsi="宋体" w:cs="宋体"/>
          <w:color w:val="auto"/>
          <w:spacing w:val="3"/>
          <w:sz w:val="24"/>
          <w:highlight w:val="none"/>
        </w:rPr>
        <w:t xml:space="preserve">                     </w:t>
      </w:r>
      <w:r>
        <w:rPr>
          <w:rFonts w:hint="eastAsia" w:ascii="宋体" w:hAnsi="宋体" w:cs="宋体"/>
          <w:color w:val="auto"/>
          <w:spacing w:val="8"/>
          <w:sz w:val="24"/>
          <w:highlight w:val="none"/>
        </w:rPr>
        <w:t xml:space="preserve">乙方（乙方</w:t>
      </w:r>
      <w:r>
        <w:rPr>
          <w:rFonts w:hint="eastAsia" w:ascii="宋体" w:hAnsi="宋体" w:cs="宋体"/>
          <w:color w:val="auto"/>
          <w:spacing w:val="1"/>
          <w:sz w:val="24"/>
          <w:highlight w:val="none"/>
        </w:rPr>
        <w:t xml:space="preserve">）：（</w:t>
      </w:r>
      <w:r>
        <w:rPr>
          <w:rFonts w:hint="eastAsia" w:ascii="宋体" w:hAnsi="宋体" w:cs="宋体"/>
          <w:color w:val="auto"/>
          <w:spacing w:val="8"/>
          <w:sz w:val="24"/>
          <w:highlight w:val="none"/>
        </w:rPr>
        <w:t xml:space="preserve">盖章）</w:t>
      </w:r>
      <w:r/>
    </w:p>
    <w:p>
      <w:pPr>
        <w:spacing w:before="27" w:line="360" w:lineRule="auto"/>
        <w:rPr>
          <w:rFonts w:hint="eastAsia" w:ascii="宋体" w:hAnsi="宋体" w:cs="宋体"/>
          <w:color w:val="auto"/>
          <w:sz w:val="24"/>
          <w:highlight w:val="none"/>
        </w:rPr>
      </w:pPr>
      <w:r>
        <w:rPr>
          <w:rFonts w:hint="eastAsia" w:ascii="宋体" w:hAnsi="宋体" w:cs="宋体"/>
          <w:color w:val="auto"/>
          <w:spacing w:val="4"/>
          <w:sz w:val="24"/>
          <w:highlight w:val="none"/>
        </w:rPr>
        <w:t xml:space="preserve">代表人：                         </w:t>
      </w:r>
      <w:r>
        <w:rPr>
          <w:rFonts w:hint="eastAsia" w:ascii="宋体" w:hAnsi="宋体" w:cs="宋体"/>
          <w:color w:val="auto"/>
          <w:spacing w:val="3"/>
          <w:sz w:val="24"/>
          <w:highlight w:val="none"/>
        </w:rPr>
        <w:t xml:space="preserve">            代表人：</w:t>
      </w:r>
      <w:r/>
    </w:p>
    <w:p>
      <w:pPr>
        <w:ind w:left="25"/>
        <w:spacing w:before="24" w:line="360" w:lineRule="auto"/>
        <w:rPr>
          <w:rFonts w:hint="eastAsia" w:ascii="宋体" w:hAnsi="宋体" w:cs="宋体"/>
          <w:color w:val="auto"/>
          <w:sz w:val="24"/>
          <w:highlight w:val="none"/>
        </w:rPr>
      </w:pPr>
      <w:r>
        <w:rPr>
          <w:rFonts w:hint="eastAsia" w:ascii="宋体" w:hAnsi="宋体" w:cs="宋体"/>
          <w:color w:val="auto"/>
          <w:spacing w:val="-8"/>
          <w:sz w:val="24"/>
          <w:highlight w:val="none"/>
        </w:rPr>
        <w:t xml:space="preserve">电</w:t>
      </w:r>
      <w:r>
        <w:rPr>
          <w:rFonts w:hint="eastAsia" w:ascii="宋体" w:hAnsi="宋体" w:cs="宋体"/>
          <w:color w:val="auto"/>
          <w:spacing w:val="7"/>
          <w:sz w:val="24"/>
          <w:highlight w:val="none"/>
        </w:rPr>
        <w:t xml:space="preserve">    </w:t>
      </w:r>
      <w:r>
        <w:rPr>
          <w:rFonts w:hint="eastAsia" w:ascii="宋体" w:hAnsi="宋体" w:cs="宋体"/>
          <w:color w:val="auto"/>
          <w:spacing w:val="-8"/>
          <w:sz w:val="24"/>
          <w:highlight w:val="none"/>
        </w:rPr>
        <w:t xml:space="preserve">话：</w:t>
      </w:r>
      <w:r>
        <w:rPr>
          <w:rFonts w:hint="eastAsia" w:ascii="宋体" w:hAnsi="宋体" w:cs="宋体"/>
          <w:color w:val="auto"/>
          <w:spacing w:val="1"/>
          <w:sz w:val="24"/>
          <w:highlight w:val="none"/>
        </w:rPr>
        <w:t xml:space="preserve">                                    </w:t>
      </w:r>
      <w:r>
        <w:rPr>
          <w:rFonts w:hint="eastAsia" w:ascii="宋体" w:hAnsi="宋体" w:cs="宋体"/>
          <w:color w:val="auto"/>
          <w:spacing w:val="-8"/>
          <w:sz w:val="24"/>
          <w:highlight w:val="none"/>
        </w:rPr>
        <w:t xml:space="preserve">电</w:t>
      </w:r>
      <w:r>
        <w:rPr>
          <w:rFonts w:hint="eastAsia" w:ascii="宋体" w:hAnsi="宋体" w:cs="宋体"/>
          <w:color w:val="auto"/>
          <w:spacing w:val="8"/>
          <w:sz w:val="24"/>
          <w:highlight w:val="none"/>
        </w:rPr>
        <w:t xml:space="preserve">    </w:t>
      </w:r>
      <w:r>
        <w:rPr>
          <w:rFonts w:hint="eastAsia" w:ascii="宋体" w:hAnsi="宋体" w:cs="宋体"/>
          <w:color w:val="auto"/>
          <w:spacing w:val="-8"/>
          <w:sz w:val="24"/>
          <w:highlight w:val="none"/>
        </w:rPr>
        <w:t xml:space="preserve">话：</w:t>
      </w:r>
      <w:r/>
    </w:p>
    <w:p>
      <w:pPr>
        <w:ind w:left="1"/>
        <w:spacing w:before="25" w:line="360" w:lineRule="auto"/>
        <w:rPr>
          <w:rFonts w:hint="eastAsia" w:ascii="宋体" w:hAnsi="宋体" w:cs="宋体"/>
          <w:color w:val="auto"/>
          <w:sz w:val="24"/>
          <w:highlight w:val="none"/>
        </w:rPr>
      </w:pPr>
      <w:r>
        <w:rPr>
          <w:rFonts w:hint="eastAsia" w:ascii="宋体" w:hAnsi="宋体" w:cs="宋体"/>
          <w:color w:val="auto"/>
          <w:spacing w:val="4"/>
          <w:sz w:val="24"/>
          <w:highlight w:val="none"/>
        </w:rPr>
        <w:t xml:space="preserve">开户银行：                               </w:t>
      </w:r>
      <w:r>
        <w:rPr>
          <w:rFonts w:hint="eastAsia" w:ascii="宋体" w:hAnsi="宋体" w:cs="宋体"/>
          <w:color w:val="auto"/>
          <w:spacing w:val="3"/>
          <w:sz w:val="24"/>
          <w:highlight w:val="none"/>
        </w:rPr>
        <w:t xml:space="preserve">    开户银行：</w:t>
      </w:r>
      <w:r/>
    </w:p>
    <w:p>
      <w:pPr>
        <w:ind w:left="8"/>
        <w:spacing w:before="25" w:line="360" w:lineRule="auto"/>
        <w:rPr>
          <w:rFonts w:hint="eastAsia" w:ascii="宋体" w:hAnsi="宋体" w:cs="宋体"/>
          <w:color w:val="auto"/>
          <w:sz w:val="24"/>
          <w:highlight w:val="none"/>
        </w:rPr>
      </w:pPr>
      <w:r>
        <w:rPr>
          <w:rFonts w:hint="eastAsia" w:ascii="宋体" w:hAnsi="宋体" w:cs="宋体"/>
          <w:color w:val="auto"/>
          <w:spacing w:val="-4"/>
          <w:sz w:val="24"/>
          <w:highlight w:val="none"/>
        </w:rPr>
        <w:t xml:space="preserve">帐</w:t>
      </w:r>
      <w:r>
        <w:rPr>
          <w:rFonts w:hint="eastAsia" w:ascii="宋体" w:hAnsi="宋体" w:cs="宋体"/>
          <w:color w:val="auto"/>
          <w:spacing w:val="8"/>
          <w:sz w:val="24"/>
          <w:highlight w:val="none"/>
        </w:rPr>
        <w:t xml:space="preserve">    </w:t>
      </w:r>
      <w:r>
        <w:rPr>
          <w:rFonts w:hint="eastAsia" w:ascii="宋体" w:hAnsi="宋体" w:cs="宋体"/>
          <w:color w:val="auto"/>
          <w:spacing w:val="-4"/>
          <w:sz w:val="24"/>
          <w:highlight w:val="none"/>
        </w:rPr>
        <w:t xml:space="preserve">号：</w:t>
      </w:r>
      <w:r>
        <w:rPr>
          <w:rFonts w:hint="eastAsia" w:ascii="宋体" w:hAnsi="宋体" w:cs="宋体"/>
          <w:color w:val="auto"/>
          <w:spacing w:val="1"/>
          <w:sz w:val="24"/>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pacing w:val="-4"/>
          <w:sz w:val="24"/>
          <w:highlight w:val="none"/>
        </w:rPr>
        <w:t xml:space="preserve">帐</w:t>
      </w:r>
      <w:r>
        <w:rPr>
          <w:rFonts w:hint="eastAsia" w:ascii="宋体" w:hAnsi="宋体" w:cs="宋体"/>
          <w:color w:val="auto"/>
          <w:spacing w:val="8"/>
          <w:sz w:val="24"/>
          <w:highlight w:val="none"/>
        </w:rPr>
        <w:t xml:space="preserve">    </w:t>
      </w:r>
      <w:r>
        <w:rPr>
          <w:rFonts w:hint="eastAsia" w:ascii="宋体" w:hAnsi="宋体" w:cs="宋体"/>
          <w:color w:val="auto"/>
          <w:spacing w:val="-4"/>
          <w:sz w:val="24"/>
          <w:highlight w:val="none"/>
        </w:rPr>
        <w:t xml:space="preserve">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6"/>
        <w:rPr>
          <w:rFonts w:hint="eastAsia"/>
          <w:color w:val="auto"/>
          <w:highlight w:val="none"/>
        </w:rPr>
      </w:pPr>
      <w:r>
        <w:rPr>
          <w:rFonts w:hint="eastAsia"/>
          <w:color w:val="auto"/>
          <w:highlight w:val="none"/>
        </w:rPr>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附件1：采购品种</w:t>
      </w:r>
      <w:r/>
    </w:p>
    <w:tbl>
      <w:tblPr>
        <w:tblStyle w:val="745"/>
        <w:tblW w:w="4881" w:type="pct"/>
        <w:tblInd w:w="2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81"/>
        <w:gridCol w:w="7261"/>
      </w:tblGrid>
      <w:tr>
        <w:trPr/>
        <w:tc>
          <w:tcPr>
            <w:tcW w:w="1311" w:type="pct"/>
            <w:vAlign w:val="center"/>
            <w:textDirection w:val="lrTb"/>
            <w:noWrap w:val="false"/>
          </w:tcPr>
          <w:p>
            <w:pPr>
              <w:jc w:val="cente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品类（包含以下但不限于，方便日后扩展采购）</w:t>
            </w:r>
            <w:r/>
          </w:p>
        </w:tc>
        <w:tc>
          <w:tcPr>
            <w:tcW w:w="3688" w:type="pct"/>
            <w:vAlign w:val="center"/>
            <w:textDirection w:val="lrTb"/>
            <w:noWrap w:val="false"/>
          </w:tcPr>
          <w:p>
            <w:pPr>
              <w:jc w:val="cente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品种（包含以下但不限于，方便日后扩展采购）</w:t>
            </w:r>
            <w:r/>
          </w:p>
        </w:tc>
      </w:tr>
      <w:tr>
        <w:trPr>
          <w:trHeight w:val="959"/>
        </w:trPr>
        <w:tc>
          <w:tcPr>
            <w:tcW w:w="1311" w:type="pct"/>
            <w:vAlign w:val="center"/>
            <w:textDirection w:val="lrTb"/>
            <w:noWrap w:val="false"/>
          </w:tcPr>
          <w:p>
            <w:pPr>
              <w:keepLines w:val="0"/>
              <w:keepNext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水产、肉类</w:t>
            </w:r>
            <w:r>
              <w:rPr>
                <w:rFonts w:hint="eastAsia" w:ascii="宋体" w:hAnsi="宋体" w:cs="宋体"/>
                <w:color w:val="auto"/>
                <w:sz w:val="24"/>
                <w:highlight w:val="none"/>
                <w:lang w:eastAsia="zh-CN"/>
              </w:rPr>
              <w:t xml:space="preserve">、家禽</w:t>
            </w:r>
            <w:r/>
          </w:p>
        </w:tc>
        <w:tc>
          <w:tcPr>
            <w:tcW w:w="3688" w:type="pct"/>
            <w:vAlign w:val="top"/>
            <w:textDirection w:val="lrTb"/>
            <w:noWrap w:val="false"/>
          </w:tcPr>
          <w:p>
            <w:pPr>
              <w:keepLines w:val="0"/>
              <w:keepNext w:val="0"/>
              <w:pageBreakBefore w:val="0"/>
              <w:spacing w:line="46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（1）猪牛羊肉等肉制品类。</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前腿肉（带皮、去皮）、五花肉（带皮、去皮）、后腿肉（带皮、去皮）、大排、小排、肋排、精肉、猪爪、牛腩、羊肉等鲜肉类食品。</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水产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鱼、虾等水产。</w:t>
            </w:r>
            <w:r/>
          </w:p>
          <w:p>
            <w:pPr>
              <w:keepLines w:val="0"/>
              <w:keepNext w:val="0"/>
              <w:pageBreakBefore w:val="0"/>
              <w:spacing w:line="46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）家禽：鸡、鸭、鹅家禽等。</w:t>
            </w:r>
            <w:r/>
          </w:p>
          <w:p>
            <w:pPr>
              <w:keepLines w:val="0"/>
              <w:keepNext w:val="0"/>
              <w:pageBreakBefore w:val="0"/>
              <w:spacing w:line="460" w:lineRule="exact"/>
              <w:widowControl w:val="off"/>
              <w:rPr>
                <w:rFonts w:hint="eastAsia"/>
                <w:color w:val="auto"/>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）蛋类：鸡蛋、鸭蛋、鹅蛋和鹌鹑蛋等。</w:t>
            </w:r>
            <w:r/>
          </w:p>
        </w:tc>
      </w:tr>
      <w:tr>
        <w:trPr>
          <w:trHeight w:val="1058"/>
        </w:trPr>
        <w:tc>
          <w:tcPr>
            <w:tcW w:w="1311" w:type="pct"/>
            <w:vAlign w:val="center"/>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冷冻制品</w:t>
            </w:r>
            <w:r/>
          </w:p>
        </w:tc>
        <w:tc>
          <w:tcPr>
            <w:tcW w:w="3688" w:type="pct"/>
            <w:vAlign w:val="top"/>
            <w:textDirection w:val="lrTb"/>
            <w:noWrap w:val="false"/>
          </w:tcPr>
          <w:p>
            <w:pPr>
              <w:numPr>
                <w:ilvl w:val="0"/>
                <w:numId w:val="0"/>
              </w:numPr>
              <w:keepLines w:val="0"/>
              <w:keepNext w:val="0"/>
              <w:pageBreakBefore w:val="0"/>
              <w:spacing w:line="460" w:lineRule="exact"/>
              <w:widowControl w:val="off"/>
              <w:rPr>
                <w:rFonts w:hint="eastAsia"/>
                <w:color w:val="auto"/>
                <w:highlight w:val="none"/>
                <w:lang w:eastAsia="zh-CN"/>
              </w:rPr>
            </w:pPr>
            <w:r>
              <w:rPr>
                <w:rFonts w:hint="eastAsia" w:ascii="宋体" w:hAnsi="宋体" w:cs="宋体"/>
                <w:color w:val="auto"/>
                <w:sz w:val="24"/>
                <w:highlight w:val="none"/>
              </w:rPr>
              <w:t xml:space="preserve">黑椒鸡块、鸡柳、牛柳、带鱼段（中）、小黄鱼（10条/斤）、无刺鮰鱼块、鸡腿小腿、鸡腿大腿、鸡翅根、鸡中翅、鸭腿等冷冻制品类食材。</w:t>
            </w:r>
            <w:r/>
          </w:p>
        </w:tc>
      </w:tr>
      <w:tr>
        <w:trPr>
          <w:trHeight w:val="959"/>
        </w:trPr>
        <w:tc>
          <w:tcPr>
            <w:tcW w:w="1311" w:type="pct"/>
            <w:vAlign w:val="center"/>
            <w:textDirection w:val="lrTb"/>
            <w:noWrap w:val="false"/>
          </w:tcPr>
          <w:p>
            <w:pPr>
              <w:keepLines w:val="0"/>
              <w:keepNext w:val="0"/>
              <w:pageBreakBefore w:val="0"/>
              <w:spacing w:line="460" w:lineRule="exact"/>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蔬菜类</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豆制品</w:t>
            </w:r>
            <w:r/>
          </w:p>
        </w:tc>
        <w:tc>
          <w:tcPr>
            <w:tcW w:w="3688" w:type="pct"/>
            <w:vAlign w:val="top"/>
            <w:textDirection w:val="lrTb"/>
            <w:noWrap w:val="false"/>
          </w:tcPr>
          <w:p>
            <w:pPr>
              <w:numPr>
                <w:ilvl w:val="0"/>
                <w:numId w:val="4"/>
              </w:numPr>
              <w:keepLines w:val="0"/>
              <w:keepNext w:val="0"/>
              <w:pageBreakBefore w:val="0"/>
              <w:spacing w:line="46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蔬菜类：青菜、萝卜、包菜、青芹、西红柿、黄瓜、土豆、大白菜、茄子、薄皮青椒等蔬菜类食品。</w:t>
            </w:r>
            <w:r>
              <w:rPr>
                <w:rFonts w:hint="eastAsia" w:ascii="宋体" w:hAnsi="宋体" w:cs="宋体"/>
                <w:color w:val="auto"/>
                <w:sz w:val="24"/>
                <w:highlight w:val="none"/>
                <w:lang w:val="en-US" w:eastAsia="zh-CN"/>
              </w:rPr>
              <w:t xml:space="preserve">.</w:t>
            </w:r>
            <w:r/>
          </w:p>
          <w:p>
            <w:pPr>
              <w:pStyle w:val="759"/>
              <w:numPr>
                <w:ilvl w:val="0"/>
                <w:numId w:val="0"/>
              </w:numPr>
              <w:keepLines w:val="0"/>
              <w:keepNext w:val="0"/>
              <w:pageBreakBefore w:val="0"/>
              <w:spacing w:line="460" w:lineRule="exact"/>
              <w:widowControl w:val="off"/>
              <w:rPr>
                <w:rFonts w:hint="eastAsia"/>
                <w:color w:val="auto"/>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）豆制品：豆腐、豆皮、豆浆、腐竹等。</w:t>
            </w:r>
            <w:r/>
          </w:p>
        </w:tc>
      </w:tr>
      <w:tr>
        <w:trPr>
          <w:trHeight w:val="478"/>
        </w:trPr>
        <w:tc>
          <w:tcPr>
            <w:tcW w:w="1311" w:type="pct"/>
            <w:vAlign w:val="center"/>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粮油及</w:t>
            </w:r>
            <w:r>
              <w:rPr>
                <w:rFonts w:hint="eastAsia" w:ascii="宋体" w:hAnsi="宋体" w:cs="宋体"/>
                <w:color w:val="auto"/>
                <w:sz w:val="24"/>
                <w:highlight w:val="none"/>
              </w:rPr>
              <w:t xml:space="preserve">其他类</w:t>
            </w:r>
            <w:r/>
          </w:p>
        </w:tc>
        <w:tc>
          <w:tcPr>
            <w:tcW w:w="3688" w:type="pct"/>
            <w:vAlign w:val="top"/>
            <w:textDirection w:val="lrTb"/>
            <w:noWrap w:val="false"/>
          </w:tcPr>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）油：胚芽油、大豆油、玉米油、葵籽油等。</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）干货类：去除了水分的木耳、紫菜、香菇、红枣、桂皮、辣椒、花椒、大茴香、小茴香、胡椒、枸杞等。</w:t>
            </w:r>
            <w:r/>
          </w:p>
          <w:p>
            <w:pPr>
              <w:keepLines w:val="0"/>
              <w:keepNext w:val="0"/>
              <w:pageBreakBefore w:val="0"/>
              <w:spacing w:line="4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）调味品类：鸡精、盐、糖、八角、桂皮、酱油、辣椒等。</w:t>
            </w:r>
            <w:r/>
          </w:p>
          <w:p>
            <w:pPr>
              <w:keepLines w:val="0"/>
              <w:keepNext w:val="0"/>
              <w:pageBreakBefore w:val="0"/>
              <w:spacing w:line="460" w:lineRule="exact"/>
              <w:widowControl w:val="off"/>
              <w:rPr>
                <w:rFonts w:hint="eastAsia"/>
                <w:color w:val="auto"/>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）米面类：面条、饺皮、大米、面粉等。</w:t>
            </w:r>
            <w:r/>
          </w:p>
        </w:tc>
      </w:tr>
    </w:tbl>
    <w:p>
      <w:pPr>
        <w:jc w:val="center"/>
        <w:rPr>
          <w:rFonts w:hint="eastAsia" w:ascii="宋体" w:hAnsi="宋体" w:cs="宋体"/>
          <w:color w:val="auto"/>
          <w:sz w:val="24"/>
          <w:highlight w:val="none"/>
        </w:rPr>
      </w:pPr>
      <w:r>
        <w:rPr>
          <w:rFonts w:hint="eastAsia"/>
          <w:color w:val="auto"/>
          <w:highlight w:val="none"/>
        </w:rPr>
        <w:br w:type="page" w:clear="all"/>
      </w:r>
      <w:r>
        <w:rPr>
          <w:rFonts w:hint="eastAsia" w:ascii="宋体" w:hAnsi="宋体" w:cs="宋体"/>
          <w:b/>
          <w:bCs/>
          <w:color w:val="auto"/>
          <w:sz w:val="24"/>
          <w:highlight w:val="none"/>
        </w:rPr>
        <w:t xml:space="preserve">附件2：验收标准</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（一）肉制品类（包含冷冻制品） </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1.肉制品（冷鲜）：符合国家标准，提供动物检疫合格证，原件</w:t>
      </w:r>
      <w:r>
        <w:rPr>
          <w:rFonts w:hint="eastAsia" w:ascii="宋体" w:hAnsi="宋体" w:cs="宋体"/>
          <w:color w:val="auto"/>
          <w:sz w:val="21"/>
          <w:szCs w:val="21"/>
          <w:highlight w:val="none"/>
          <w:lang w:val="en-US" w:eastAsia="zh-CN"/>
        </w:rPr>
        <w:t xml:space="preserve">交至</w:t>
      </w:r>
      <w:r>
        <w:rPr>
          <w:rFonts w:hint="eastAsia" w:ascii="宋体" w:hAnsi="宋体" w:cs="宋体"/>
          <w:color w:val="auto"/>
          <w:sz w:val="21"/>
          <w:szCs w:val="21"/>
          <w:highlight w:val="none"/>
        </w:rPr>
        <w:t xml:space="preserve">使用方。表皮洁净，肥瘦适中，色泽正常，去骨，无异味，无注水，无颈骨，无淋巴，按甲方要求规格供货。  </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冷冻禽肉：带鱼段（中）、小黄鱼（10条/斤）：须提供质量监督管理部门检测合格报告。包装完整、批号清晰，按甲方要求规格供货。冷冻家禽：须提供检测合格报告。干冻，无注水，全净膛，表皮完整洁净，按甲方要求规格供货。 </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（二）蔬菜蛋类</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1.蔬菜类：农药残留符合GB/T 5009.218-2008标准。无虫咬、发芽、发黄、发霉现象；无明显水泡现象，根、茎、叶新鲜，包叶菜的外层粗皮去除干净。</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2.蛋类：蛋壳清洁完整，灯光透视时整个蛋呈微红色，蛋黄不见或略有阴影，打开后蛋黄凸起完整并带有韧性，蛋白澄清透明，稀稠分明。</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（三）家禽</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外观检查：体型、毛色、眼睛、嘴巴等方面。例如，检查家禽的眼睛是否明亮，嘴巴是否干净等。</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气味检查：气味检查没有异味，不得有腐败味等。</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色泽检查：色泽明亮，不得出现发黑、褐色等。</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（四）水产</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水产类：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（五）其他类</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1.豆制品类</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须提供质量监督管理部门检验合格报告。新鲜、保证当天货品；干净、无灰尘、异味；外形完整、无破损；鲜豆腐饱满、结实、颜色正常；如有包装，应整洁、分量足。</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2.米：符合GB/T 1354-2018标准。一级大米要求含水量等于低于规定标准，无杂质、杂米，黄粒米&lt;2%，含碎&lt;15%，水份&lt;15.5%；优质大米要求含水量等于低于规定标准，无杂质、杂米，黄粒米&lt;2%，含碎&lt;10%，水份&lt;15%。</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3.面：符合国家质量标准，卫生指标应符合 GB 2715-2016《粮食卫生标准》，小麦粉中不得添加过氧化苯甲酰、溴酸钾；添加营养强化剂应符合GB 14880-2012《食品营养强化剂使用标准》。</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4.油：大豆油符合GB/T 1535-2017标准，要求澄清透明；气味、口感</w:t>
      </w:r>
      <w:r>
        <w:rPr>
          <w:rFonts w:hint="eastAsia" w:ascii="宋体" w:hAnsi="宋体" w:cs="宋体"/>
          <w:color w:val="auto"/>
          <w:sz w:val="21"/>
          <w:szCs w:val="21"/>
          <w:highlight w:val="none"/>
        </w:rPr>
        <w:t xml:space="preserve">较好；溶剂残留不得检出；酸值小于1；过氧化值小于6；密封良好，无渗漏；玉米油符合符GB/T 19111-2017标准，要求澄清透明；气味、口感较好；溶剂残留不得检出；酸值小于0.2%；过氧化值小于5；商标整齐，喷码正确，文字清晰。密封良好，无渗漏；葵花籽油符合GB/T 10464-2017标准，要求澄清透明；气味、口感较好；商标整齐，喷码正确，文字清晰。密封良好，无渗漏；菜籽油符合GB/T 1536-2021标准，要求澄清透明；气味、口感较好；溶剂残留不得检出；酸值小于1；过氧化值小于6；密封良好，无渗漏。</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5.干货类</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ind w:firstLine="482"/>
        <w:keepLines w:val="0"/>
        <w:keepNext w:val="0"/>
        <w:pageBreakBefore w:val="0"/>
        <w:spacing w:line="3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6.调味品类</w:t>
      </w:r>
      <w:r/>
    </w:p>
    <w:p>
      <w:pPr>
        <w:ind w:firstLine="482"/>
        <w:keepLines w:val="0"/>
        <w:keepNext w:val="0"/>
        <w:pageBreakBefore w:val="0"/>
        <w:spacing w:line="320" w:lineRule="exact"/>
        <w:widowControl w:val="off"/>
        <w:rPr>
          <w:rFonts w:hint="eastAsia" w:ascii="宋体" w:hAnsi="宋体" w:cs="宋体"/>
          <w:color w:val="auto"/>
          <w:sz w:val="24"/>
          <w:highlight w:val="none"/>
        </w:rPr>
      </w:pPr>
      <w:r>
        <w:rPr>
          <w:rFonts w:hint="eastAsia" w:ascii="宋体" w:hAnsi="宋体" w:cs="宋体"/>
          <w:color w:val="auto"/>
          <w:sz w:val="21"/>
          <w:szCs w:val="21"/>
          <w:highlight w:val="none"/>
        </w:rPr>
        <w:t xml:space="preserve">色泽正常，滋气味：具有该品种固有的香味，滋味无异味，性状：油酱均匀的酱体或无结块的粉状固体，包装质量：封口平整，无破包，夹包，漏包；包装显示有效期，要牢固、防潮、整洁、美观、无异味，便于运输及装卸。</w:t>
      </w:r>
      <w:r/>
    </w:p>
    <w:p>
      <w:pPr>
        <w:pStyle w:val="1194"/>
        <w:rPr>
          <w:color w:val="auto"/>
          <w:highlight w:val="none"/>
        </w:rPr>
      </w:pPr>
      <w:r>
        <w:rPr>
          <w:color w:val="auto"/>
          <w:highlight w:val="none"/>
        </w:rPr>
      </w:r>
      <w:r/>
    </w:p>
    <w:p>
      <w:pPr>
        <w:rPr>
          <w:rFonts w:hint="eastAsia"/>
          <w:color w:val="auto"/>
          <w:highlight w:val="none"/>
        </w:rPr>
      </w:pPr>
      <w:r>
        <w:rPr>
          <w:rFonts w:hint="eastAsia"/>
          <w:color w:val="auto"/>
          <w:highlight w:val="none"/>
        </w:rPr>
        <w:br w:type="page" w:clear="all"/>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附件3：考核标准</w:t>
      </w:r>
      <w:r/>
    </w:p>
    <w:p>
      <w:pPr>
        <w:rPr>
          <w:rFonts w:hint="eastAsia"/>
          <w:color w:val="auto"/>
          <w:highlight w:val="none"/>
          <w:shd w:val="clear" w:color="ffffff" w:fill="d9d9d9"/>
        </w:rPr>
      </w:pPr>
      <w:r>
        <w:rPr>
          <w:rFonts w:hint="eastAsia"/>
          <w:color w:val="auto"/>
          <w:highlight w:val="none"/>
          <w:shd w:val="clear" w:color="ffffff" w:fill="d9d9d9"/>
        </w:rPr>
      </w:r>
      <w:r/>
    </w:p>
    <w:tbl>
      <w:tblPr>
        <w:tblStyle w:val="745"/>
        <w:tblW w:w="52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795"/>
        <w:gridCol w:w="1104"/>
        <w:gridCol w:w="786"/>
        <w:gridCol w:w="6013"/>
        <w:gridCol w:w="873"/>
      </w:tblGrid>
      <w:tr>
        <w:trPr>
          <w:cantSplit/>
          <w:jc w:val="center"/>
          <w:trHeight w:val="624"/>
        </w:trPr>
        <w:tc>
          <w:tcPr>
            <w:tcW w:w="44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w:t>
            </w:r>
            <w:r/>
          </w:p>
        </w:tc>
        <w:tc>
          <w:tcPr>
            <w:tcW w:w="378"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考核内容及标准</w:t>
            </w:r>
            <w:r/>
          </w:p>
        </w:tc>
        <w:tc>
          <w:tcPr>
            <w:tcW w:w="41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r>
      <w:tr>
        <w:trPr>
          <w:cantSplit/>
          <w:jc w:val="center"/>
          <w:trHeight w:val="641"/>
        </w:trPr>
        <w:tc>
          <w:tcPr>
            <w:tcW w:w="445" w:type="pct"/>
            <w:vAlign w:val="center"/>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流程管理</w:t>
            </w:r>
            <w:r/>
          </w:p>
        </w:tc>
        <w:tc>
          <w:tcPr>
            <w:tcW w:w="378" w:type="pct"/>
            <w:vAlign w:val="center"/>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准时送货</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送货准时，每次所需食材按招标方要求一并送达9分（非不可抗拒情况下延误一次扣3分，以此类推，扣完为止。发现委托其他人或其他车代送不得分）。</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70"/>
        </w:trPr>
        <w:tc>
          <w:tcPr>
            <w:tcW w:w="445" w:type="pct"/>
            <w:vAlign w:val="center"/>
            <w:vMerge w:val="continue"/>
            <w:textDirection w:val="tbRlV"/>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8"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足斤足两</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送货无短斤缺两现象9分（份量短缺达到该类食材配送总量5%及以上，有一次扣3分，以此类推，扣完为止）。</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13"/>
        </w:trPr>
        <w:tc>
          <w:tcPr>
            <w:tcW w:w="445"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8"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工作人员工作认真，服务热情周到，运送搬装文明4分（运送人员野蛮运装或无正当理由与工作人员争执，一次扣2分，扣完为止）。</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19"/>
        </w:trPr>
        <w:tc>
          <w:tcPr>
            <w:tcW w:w="445"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8"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工作细致</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配送物品清单与实际配送无差错6分（误差一次扣3分，以此类推，扣完为止）。</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17"/>
        </w:trPr>
        <w:tc>
          <w:tcPr>
            <w:tcW w:w="445"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8"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单据清晰</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送货单（结算凭证）项目齐全，打印清晰2分，否则不得分。</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24"/>
        </w:trPr>
        <w:tc>
          <w:tcPr>
            <w:tcW w:w="44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质量管理</w:t>
            </w:r>
            <w:r/>
          </w:p>
        </w:tc>
        <w:tc>
          <w:tcPr>
            <w:tcW w:w="378"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40分</w:t>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食材每日评分汇总</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对配送单位提供的食材质量进行验收考核（验收时按各类食材验收标准打分，由每次得分汇总得出月度分）。</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62"/>
        </w:trPr>
        <w:tc>
          <w:tcPr>
            <w:tcW w:w="445" w:type="pct"/>
            <w:vAlign w:val="center"/>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科学管理</w:t>
            </w:r>
            <w:r/>
          </w:p>
        </w:tc>
        <w:tc>
          <w:tcPr>
            <w:tcW w:w="378" w:type="pct"/>
            <w:vAlign w:val="center"/>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报价准确</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送货单上单价与投标报价一致，符合标书要求（有误差，每次扣3分，以此类推，扣完为止）。</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35"/>
        </w:trPr>
        <w:tc>
          <w:tcPr>
            <w:tcW w:w="445" w:type="pct"/>
            <w:vAlign w:val="center"/>
            <w:vMerge w:val="continue"/>
            <w:textDirection w:val="tbRlV"/>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8"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安全清洁</w:t>
            </w:r>
            <w:r/>
          </w:p>
        </w:tc>
        <w:tc>
          <w:tcPr>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操作场所、仓库、运输工具、贮物筐箱等保持清洁卫生，坚持每天清洁工作，定期消毒并有记录，仓库内无过期物品 。（抽查到不符要求的每次扣1分，以此类推，扣完为止）。</w:t>
            </w:r>
            <w:r/>
          </w:p>
        </w:tc>
        <w:tc>
          <w:tcPr>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42"/>
        </w:trPr>
        <w:tc>
          <w:tcPr>
            <w:tcW w:w="445" w:type="pct"/>
            <w:vAlign w:val="center"/>
            <w:vMerge w:val="continue"/>
            <w:textDirection w:val="tbRlV"/>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8"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4" w:space="0"/>
            </w:tcBorders>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联系制度</w:t>
            </w:r>
            <w:r/>
          </w:p>
        </w:tc>
        <w:tc>
          <w:tcPr>
            <w:tcBorders>
              <w:bottom w:val="single" w:color="000000" w:sz="4" w:space="0"/>
            </w:tcBorders>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tcBorders>
              <w:bottom w:val="single" w:color="000000" w:sz="4" w:space="0"/>
            </w:tcBorders>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如市场没有招标方所需食材品种，事先与招标方联系并谈妥更换品种、品级、规格、价格等事项，然后发货。不满足扣3分。（配送单位单方定价后再送货不得分）。</w:t>
            </w:r>
            <w:r/>
          </w:p>
        </w:tc>
        <w:tc>
          <w:tcPr>
            <w:tcBorders>
              <w:bottom w:val="single" w:color="000000" w:sz="4" w:space="0"/>
            </w:tcBorders>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445"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8" w:type="pct"/>
            <w:vAlign w:val="center"/>
            <w:vMerge w:val="continue"/>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4" w:space="0"/>
            </w:tcBorders>
            <w:tcW w:w="525"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及时整改</w:t>
            </w:r>
            <w:r/>
          </w:p>
        </w:tc>
        <w:tc>
          <w:tcPr>
            <w:tcBorders>
              <w:bottom w:val="single" w:color="000000" w:sz="4" w:space="0"/>
            </w:tcBorders>
            <w:tcW w:w="374"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c>
          <w:tcPr>
            <w:tcBorders>
              <w:bottom w:val="single" w:color="000000" w:sz="4" w:space="0"/>
            </w:tcBorders>
            <w:tcW w:w="2860"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对招标方的意见、建议虚心接受，运作过程中出现的新情况、新问题及时主动沟通、协调有效果，及时整改见实效（2分）（整改效果不明显扣1分，未见整改效果不得分）。</w:t>
            </w:r>
            <w:r/>
          </w:p>
        </w:tc>
        <w:tc>
          <w:tcPr>
            <w:tcBorders>
              <w:bottom w:val="single" w:color="000000" w:sz="4" w:space="0"/>
            </w:tcBorders>
            <w:tcW w:w="415"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color w:val="auto"/>
          <w:highlight w:val="none"/>
        </w:rPr>
        <w:sectPr>
          <w:footerReference w:type="default" r:id="rId13"/>
          <w:footnotePr/>
          <w:endnotePr/>
          <w:type w:val="nextPage"/>
          <w:pgSz w:w="11906" w:h="16839" w:orient="portrait"/>
          <w:pgMar w:top="1134" w:right="1020" w:bottom="1134" w:left="1020" w:header="227" w:footer="755" w:gutter="0"/>
          <w:pgNumType w:start="1"/>
          <w:cols w:num="1" w:sep="0" w:space="720" w:equalWidth="1"/>
          <w:docGrid w:linePitch="360"/>
        </w:sectPr>
      </w:pPr>
      <w:r>
        <w:rPr>
          <w:color w:val="auto"/>
          <w:highlight w:val="none"/>
        </w:rPr>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附件4：食堂乙方食品安全责任书</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根据《中华人民共和国食品卫生法》、《中华人民共和食品卫生法实施条例》的规定、为落实食品安全工作责任制，强化食品安全工作的监督力度，防患于未然，结合食品生产经营的实际情况，特制定本责任书。</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一、责任书起止时间：与项目合同有效期同步。</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二、乙方要求：</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1、乙方每次供货必须根据甲方确定的产品进行供货，乙方不能提供非甲方确定的产品进行供货，由此产生的一切问题由乙方自己承担。</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2、乙方供货的同时必须提供食品原材料的供货清单，注明供货单位，供货品名、规格、斤两、单价、生产日期、保质期及供货时间一式两联加盖公章。</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不得向学校提供对人体有害的食品原辅材料，乙方提供的食品原辅材料中不得添加任何对人体有害的添加剂，乙方严格遵守中华人民共和国《产品质量法》、《食品卫生法》、《食品生产加工企业质量监督管理办法》、《餐饮业食品卫生管理办法》等相关法律、法规的规定，保证食品原辅材料质量安全符合国家有关产品质量标准。</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三、责任追究</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1、凡供货商违反本责任书第二条之规定者，甲方有权立即终止与供货商签订的供货协议，并有权追究乙方的经济赔偿责任。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责任书以中华人民共和国《食品卫生法》等有关食品生产的法律法规为执行细则，由于乙方所提供的食品原辅材料所造成的事故或责任，若构成犯罪的则移送司法机关追究责任人的刑事责任，同时甲方将视情节轻重向责任方主张经济赔偿和违约金</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四、本责任书经甲、乙双方签字并盖公章后生效。此责任书一式四份，甲乙双方各执二份。</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                                  乙方：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XX年 月 日                            XX年 月 日</w:t>
      </w:r>
      <w:r/>
    </w:p>
    <w:p>
      <w:pPr>
        <w:jc w:val="center"/>
        <w:rPr>
          <w:rFonts w:hint="eastAsia" w:ascii="宋体" w:hAnsi="宋体" w:cs="宋体"/>
          <w:b/>
          <w:bCs/>
          <w:color w:val="auto"/>
          <w:sz w:val="24"/>
          <w:highlight w:val="none"/>
        </w:rPr>
      </w:pPr>
      <w:r>
        <w:rPr>
          <w:rFonts w:hint="eastAsia"/>
          <w:color w:val="auto"/>
          <w:highlight w:val="none"/>
        </w:rPr>
        <w:br w:type="page" w:clear="all"/>
      </w:r>
      <w:r>
        <w:rPr>
          <w:rFonts w:hint="eastAsia" w:ascii="宋体" w:hAnsi="宋体" w:cs="宋体"/>
          <w:b/>
          <w:bCs/>
          <w:color w:val="auto"/>
          <w:sz w:val="24"/>
          <w:highlight w:val="none"/>
        </w:rPr>
        <w:t xml:space="preserve">附件5：廉洁合同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为加强甲方</w:t>
      </w:r>
      <w:r>
        <w:rPr>
          <w:rFonts w:hint="eastAsia" w:ascii="宋体" w:hAnsi="宋体" w:cs="宋体"/>
          <w:color w:val="auto"/>
          <w:sz w:val="21"/>
          <w:szCs w:val="21"/>
          <w:highlight w:val="none"/>
          <w:u w:val="single"/>
          <w:lang w:eastAsia="zh-CN"/>
        </w:rPr>
        <w:t xml:space="preserve">2026年度南京市公安局高淳分局食堂食材采购服务</w:t>
      </w:r>
      <w:r>
        <w:rPr>
          <w:rFonts w:hint="eastAsia" w:ascii="宋体" w:hAnsi="宋体" w:cs="宋体"/>
          <w:color w:val="auto"/>
          <w:sz w:val="21"/>
          <w:szCs w:val="21"/>
          <w:highlight w:val="none"/>
        </w:rPr>
        <w:t xml:space="preserve">项目廉政建设，规范双方的各项活动，确保服务质量，防止发生各种谋取不正当利益的违法违纪行为，保护甲、乙双方的合法权益，经甲乙双方协商同意，将严格执行以下条款。</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一、甲方的权利和义务</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1.甲方的工作人员在项目实施过程中，不得以任何形式向乙方索取贿赂、收受回扣及好处费等；不得接受任何利益输送。</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2.对乙方主动给予的钱、物等，甲方的工作人员要坚决拒绝，无法拒绝的要及时上交甲方的纪检监察部门。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3.甲方工作人员在项目实施过程中，必须遵守廉洁自律的其他有关规定。</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二、乙方的权利和义务</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1.乙方应遵照执行甲方在廉洁从业方面的各项制度和规定，积极配合甲方就有关违纪问题进行调查取证，在相关案件查办时，应配合监委提供证据、作证。</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2.乙方工作人员在项目实施过程中，不得向甲方的工作人员行贿、提供回扣或其他好处费等；不得有任何利益输送行为。</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3.乙方发现甲方工作人员有不廉洁行为的，应当及时报告甲方的纪检监察部门。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4.乙方工作人员在项目实施过程中，必须遵守廉洁自律的其他有关规定。</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三、违约责任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乙方在相关案件查办时，存在拒不配合监委等调查的情形时，甲方有权采取警示约谈、降低考核评价分数、降低供货份额、缩短服务期限、终止或解除合同等多种措施。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乙方及其工作人员违反廉洁有关规定，在参加采购活动中向干部职工行贿的，被给予党纪、政纪处分、移交司法机关追究刑事责任的，乙方应承担以下责任：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1.列入存在行贿行为乙方名单，实施严格的禁入措施，禁止参加新采购项目。</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2.对乙方被列入存在行贿行为乙方名单的禁入措施，适用于其法定代表人、主要负责人和行贿人。在禁入期限内，上述人员担任法定代表人、主要负责人或实际控制人的其他企业，均不得参加新采购项目。</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3.履约期间乙方被列入存在行贿行为乙方名单的，甲方可以采取警示约谈等措施进行督促整改，并采取降低考核评价分数、降低供货份额、缩短服务期限、终止或解除合同等处理措施。</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四、合同的生效</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1.本合同在双方签字并盖章后生效。</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2.一式四份，甲乙双方各执二份。</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甲方（盖章）：</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乙方（盖章）：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法定代表人（被授权委托人）：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法定代表人（被授权委托人）：</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日期</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spacing w:line="360" w:lineRule="auto"/>
        <w:rPr>
          <w:rFonts w:hint="eastAsia" w:ascii="宋体" w:hAnsi="宋体" w:cs="宋体"/>
          <w:color w:val="auto"/>
          <w:sz w:val="24"/>
          <w:highlight w:val="none"/>
        </w:rPr>
        <w:sectPr>
          <w:headerReference w:type="default" r:id="rId11"/>
          <w:footerReference w:type="default" r:id="rId14"/>
          <w:footerReference w:type="even" r:id="rId15"/>
          <w:footnotePr/>
          <w:endnotePr/>
          <w:type w:val="nextPage"/>
          <w:pgSz w:w="11906" w:h="16838" w:orient="portrait"/>
          <w:pgMar w:top="1134" w:right="1020" w:bottom="1134" w:left="1020" w:header="851" w:footer="1134" w:gutter="0"/>
          <w:cols w:num="1" w:sep="0" w:space="720" w:equalWidth="1"/>
          <w:docGrid w:linePitch="360"/>
        </w:sectPr>
      </w:pPr>
      <w:r>
        <w:rPr>
          <w:rFonts w:hint="eastAsia" w:ascii="宋体" w:hAnsi="宋体" w:cs="宋体"/>
          <w:color w:val="auto"/>
          <w:sz w:val="24"/>
          <w:highlight w:val="none"/>
        </w:rPr>
      </w:r>
      <w:r/>
    </w:p>
    <w:p>
      <w:pPr>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735"/>
        <w:ind w:firstLine="602"/>
        <w:jc w:val="center"/>
        <w:spacing w:before="0" w:after="0" w:line="240" w:lineRule="auto"/>
        <w:rPr>
          <w:rFonts w:hint="eastAsia" w:ascii="宋体" w:hAnsi="宋体" w:eastAsia="宋体" w:cs="宋体"/>
          <w:color w:val="auto"/>
          <w:highlight w:val="none"/>
        </w:rPr>
      </w:pPr>
      <w:r/>
      <w:bookmarkStart w:id="212" w:name="_Toc20869"/>
      <w:r/>
      <w:bookmarkStart w:id="213" w:name="_Toc11794"/>
      <w:r/>
      <w:bookmarkStart w:id="214" w:name="_Toc6119"/>
      <w:r/>
      <w:bookmarkStart w:id="215" w:name="_Toc1077"/>
      <w:r/>
      <w:bookmarkStart w:id="216" w:name="_Toc30211"/>
      <w:r/>
      <w:bookmarkStart w:id="217" w:name="_Toc21512"/>
      <w:r/>
      <w:bookmarkStart w:id="218" w:name="_Toc19396"/>
      <w:r/>
      <w:bookmarkStart w:id="219" w:name="_Toc31820"/>
      <w:r/>
      <w:bookmarkStart w:id="220" w:name="_Toc15166"/>
      <w:r/>
      <w:bookmarkStart w:id="221" w:name="_Toc32522"/>
      <w:r/>
      <w:bookmarkStart w:id="222" w:name="_Toc32369"/>
      <w:r/>
      <w:bookmarkStart w:id="223" w:name="_Toc21402"/>
      <w:r/>
      <w:bookmarkStart w:id="224" w:name="_Toc12626"/>
      <w:r/>
      <w:bookmarkStart w:id="225" w:name="_Toc7207"/>
      <w:r/>
      <w:bookmarkStart w:id="226" w:name="_Toc6513"/>
      <w:r/>
      <w:bookmarkStart w:id="227" w:name="_Toc22931"/>
      <w:r/>
      <w:bookmarkStart w:id="228" w:name="_Toc1431"/>
      <w:r/>
      <w:bookmarkStart w:id="229" w:name="_Toc153441901"/>
      <w:r/>
      <w:bookmarkStart w:id="230" w:name="_Toc25443"/>
      <w:r/>
      <w:bookmarkStart w:id="231" w:name="_Toc31543"/>
      <w:r/>
      <w:bookmarkStart w:id="232" w:name="_Toc22571"/>
      <w:r/>
      <w:bookmarkStart w:id="233" w:name="_Toc116284545"/>
      <w:r/>
      <w:bookmarkStart w:id="234" w:name="_Toc18610"/>
      <w:r/>
      <w:bookmarkStart w:id="235" w:name="_Toc15415"/>
      <w:r/>
      <w:bookmarkStart w:id="236" w:name="_Toc27698"/>
      <w:r/>
      <w:bookmarkStart w:id="237" w:name="_Toc28150"/>
      <w:r/>
      <w:bookmarkStart w:id="238" w:name="_Toc5814"/>
      <w:r/>
      <w:bookmarkStart w:id="239" w:name="_Toc13474"/>
      <w:r/>
      <w:bookmarkStart w:id="240" w:name="_Toc7016"/>
      <w:r/>
      <w:bookmarkStart w:id="241" w:name="_Toc32321"/>
      <w:r/>
      <w:bookmarkStart w:id="242" w:name="_Toc11931"/>
      <w:r/>
      <w:bookmarkStart w:id="243" w:name="_Toc11783"/>
      <w:r>
        <w:rPr>
          <w:rFonts w:hint="eastAsia" w:ascii="宋体" w:hAnsi="宋体" w:eastAsia="宋体" w:cs="宋体"/>
          <w:bCs w:val="0"/>
          <w:color w:val="auto"/>
          <w:sz w:val="30"/>
          <w:szCs w:val="30"/>
          <w:highlight w:val="none"/>
          <w:lang w:val="zh-CN"/>
        </w:rPr>
        <w:t xml:space="preserve">第六章 </w:t>
      </w:r>
      <w:r>
        <w:rPr>
          <w:rFonts w:hint="eastAsia" w:ascii="宋体" w:hAnsi="宋体" w:eastAsia="宋体" w:cs="宋体"/>
          <w:bCs w:val="0"/>
          <w:color w:val="auto"/>
          <w:sz w:val="30"/>
          <w:szCs w:val="30"/>
          <w:highlight w:val="none"/>
        </w:rPr>
        <w:t xml:space="preserve">投标书</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60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line="240" w:lineRule="atLeast"/>
        <w:rPr>
          <w:rFonts w:hint="eastAsia" w:ascii="宋体" w:hAnsi="宋体" w:eastAsia="宋体" w:cs="宋体"/>
          <w:b/>
          <w:bCs/>
          <w:color w:val="auto"/>
          <w:sz w:val="36"/>
          <w:szCs w:val="36"/>
          <w:highlight w:val="none"/>
          <w:lang w:val="zh-CN" w:eastAsia="zh-CN" w:bidi="ar-SA"/>
        </w:rPr>
      </w:pPr>
      <w:r>
        <w:rPr>
          <w:rFonts w:hint="eastAsia" w:ascii="宋体" w:hAnsi="宋体" w:eastAsia="宋体" w:cs="宋体"/>
          <w:b/>
          <w:bCs/>
          <w:color w:val="auto"/>
          <w:sz w:val="24"/>
          <w:szCs w:val="24"/>
          <w:highlight w:val="none"/>
          <w:lang w:val="zh-TW" w:eastAsia="zh-TW" w:bidi="ar-SA"/>
        </w:rPr>
        <w:t xml:space="preserve">（所附格式仅供参考，一切以</w:t>
      </w:r>
      <w:r>
        <w:rPr>
          <w:rFonts w:hint="eastAsia" w:ascii="宋体" w:hAnsi="宋体" w:eastAsia="宋体" w:cs="宋体"/>
          <w:b/>
          <w:bCs/>
          <w:color w:val="auto"/>
          <w:sz w:val="24"/>
          <w:szCs w:val="24"/>
          <w:highlight w:val="none"/>
          <w:lang w:val="zh-TW" w:eastAsia="zh-CN" w:bidi="ar-SA"/>
        </w:rPr>
        <w:t xml:space="preserve">采购文件</w:t>
      </w:r>
      <w:r>
        <w:rPr>
          <w:rFonts w:hint="eastAsia" w:ascii="宋体" w:hAnsi="宋体" w:eastAsia="宋体" w:cs="宋体"/>
          <w:b/>
          <w:bCs/>
          <w:color w:val="auto"/>
          <w:sz w:val="24"/>
          <w:szCs w:val="24"/>
          <w:highlight w:val="none"/>
          <w:lang w:val="zh-TW" w:eastAsia="zh-TW" w:bidi="ar-SA"/>
        </w:rPr>
        <w:t xml:space="preserve">要求为准）</w:t>
      </w:r>
      <w:r/>
    </w:p>
    <w:p>
      <w:pPr>
        <w:jc w:val="center"/>
        <w:rPr>
          <w:rFonts w:hint="eastAsia" w:ascii="宋体" w:hAnsi="宋体" w:eastAsia="宋体" w:cs="宋体"/>
          <w:b/>
          <w:color w:val="auto"/>
          <w:sz w:val="72"/>
          <w:szCs w:val="20"/>
          <w:highlight w:val="none"/>
          <w:lang w:val="en-US" w:eastAsia="zh-CN" w:bidi="ar-SA"/>
        </w:rPr>
      </w:pPr>
      <w:r>
        <w:rPr>
          <w:rFonts w:hint="eastAsia" w:ascii="宋体" w:hAnsi="宋体" w:eastAsia="宋体" w:cs="宋体"/>
          <w:b/>
          <w:color w:val="auto"/>
          <w:sz w:val="72"/>
          <w:szCs w:val="20"/>
          <w:highlight w:val="none"/>
          <w:lang w:val="en-US" w:eastAsia="zh-CN" w:bidi="ar-SA"/>
        </w:rPr>
      </w:r>
      <w:r/>
    </w:p>
    <w:p>
      <w:pPr>
        <w:jc w:val="center"/>
        <w:rPr>
          <w:rFonts w:hint="eastAsia" w:ascii="宋体" w:hAnsi="宋体" w:eastAsia="宋体" w:cs="宋体"/>
          <w:b/>
          <w:color w:val="auto"/>
          <w:sz w:val="72"/>
          <w:szCs w:val="20"/>
          <w:highlight w:val="none"/>
          <w:lang w:val="en-US" w:eastAsia="zh-CN" w:bidi="ar-SA"/>
        </w:rPr>
      </w:pPr>
      <w:r>
        <w:rPr>
          <w:rFonts w:hint="eastAsia" w:ascii="宋体" w:hAnsi="宋体" w:eastAsia="宋体" w:cs="宋体"/>
          <w:b/>
          <w:color w:val="auto"/>
          <w:sz w:val="72"/>
          <w:szCs w:val="20"/>
          <w:highlight w:val="none"/>
          <w:lang w:val="en-US" w:eastAsia="zh-CN" w:bidi="ar-SA"/>
        </w:rPr>
        <w:t xml:space="preserve">投标文件</w:t>
      </w:r>
      <w:r/>
    </w:p>
    <w:p>
      <w:pPr>
        <w:ind w:firstLine="3708"/>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jc w:val="center"/>
        <w:rPr>
          <w:rFonts w:hint="eastAsia" w:ascii="宋体" w:hAnsi="宋体" w:eastAsia="宋体" w:cs="宋体"/>
          <w:b/>
          <w:color w:val="auto"/>
          <w:sz w:val="72"/>
          <w:szCs w:val="20"/>
          <w:highlight w:val="none"/>
          <w:lang w:val="en-US" w:eastAsia="zh-CN" w:bidi="ar-SA"/>
        </w:rPr>
      </w:pPr>
      <w:r>
        <w:rPr>
          <w:rFonts w:hint="eastAsia" w:ascii="宋体" w:hAnsi="宋体" w:eastAsia="宋体" w:cs="宋体"/>
          <w:b/>
          <w:color w:val="auto"/>
          <w:sz w:val="72"/>
          <w:szCs w:val="20"/>
          <w:highlight w:val="none"/>
          <w:lang w:val="en-US" w:eastAsia="zh-CN" w:bidi="ar-SA"/>
        </w:rPr>
      </w:r>
      <w:r/>
    </w:p>
    <w:p>
      <w:pPr>
        <w:jc w:val="cente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jc w:val="cente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jc w:val="cente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ind w:firstLine="1084"/>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项目编号： </w:t>
      </w:r>
      <w:r>
        <w:rPr>
          <w:rFonts w:hint="eastAsia" w:ascii="宋体" w:hAnsi="宋体" w:eastAsia="宋体" w:cs="宋体"/>
          <w:b/>
          <w:color w:val="auto"/>
          <w:sz w:val="36"/>
          <w:szCs w:val="20"/>
          <w:highlight w:val="none"/>
          <w:u w:val="single"/>
          <w:lang w:val="en-US" w:eastAsia="zh-CN" w:bidi="ar-SA"/>
        </w:rPr>
        <w:t xml:space="preserve">               </w:t>
      </w:r>
      <w:r/>
    </w:p>
    <w:p>
      <w:pPr>
        <w:ind w:firstLine="1084"/>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项目名称： </w:t>
      </w:r>
      <w:r>
        <w:rPr>
          <w:rFonts w:hint="eastAsia" w:ascii="宋体" w:hAnsi="宋体" w:eastAsia="宋体" w:cs="宋体"/>
          <w:b/>
          <w:color w:val="auto"/>
          <w:sz w:val="36"/>
          <w:szCs w:val="20"/>
          <w:highlight w:val="none"/>
          <w:u w:val="single"/>
          <w:lang w:val="en-US" w:eastAsia="zh-CN" w:bidi="ar-SA"/>
        </w:rPr>
        <w:t xml:space="preserve">               </w:t>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r>
      <w:r/>
    </w:p>
    <w:p>
      <w:pPr>
        <w:rPr>
          <w:rFonts w:hint="eastAsia" w:ascii="宋体" w:hAnsi="宋体" w:eastAsia="宋体" w:cs="宋体"/>
          <w:b/>
          <w:color w:val="auto"/>
          <w:sz w:val="36"/>
          <w:szCs w:val="20"/>
          <w:highlight w:val="none"/>
          <w:u w:val="single"/>
          <w:lang w:val="en-US" w:eastAsia="zh-CN" w:bidi="ar-SA"/>
        </w:rPr>
      </w:pPr>
      <w:r>
        <w:rPr>
          <w:rFonts w:hint="eastAsia" w:ascii="宋体" w:hAnsi="宋体" w:eastAsia="宋体" w:cs="宋体"/>
          <w:b/>
          <w:color w:val="auto"/>
          <w:sz w:val="36"/>
          <w:szCs w:val="20"/>
          <w:highlight w:val="none"/>
          <w:lang w:val="en-US" w:eastAsia="zh-CN" w:bidi="ar-SA"/>
        </w:rPr>
        <w:t xml:space="preserve">      供应商名称 ：</w:t>
      </w:r>
      <w:r>
        <w:rPr>
          <w:rFonts w:hint="eastAsia" w:ascii="宋体" w:hAnsi="宋体" w:eastAsia="宋体" w:cs="宋体"/>
          <w:b/>
          <w:color w:val="auto"/>
          <w:sz w:val="36"/>
          <w:szCs w:val="20"/>
          <w:highlight w:val="none"/>
          <w:u w:val="single"/>
          <w:lang w:val="en-US" w:eastAsia="zh-CN" w:bidi="ar-SA"/>
        </w:rPr>
        <w:t xml:space="preserve">              </w:t>
      </w:r>
      <w:r>
        <w:rPr>
          <w:rFonts w:hint="eastAsia" w:ascii="宋体" w:hAnsi="宋体" w:eastAsia="宋体" w:cs="宋体"/>
          <w:b/>
          <w:color w:val="auto"/>
          <w:sz w:val="36"/>
          <w:szCs w:val="20"/>
          <w:highlight w:val="none"/>
          <w:lang w:val="en-US" w:eastAsia="zh-CN" w:bidi="ar-SA"/>
        </w:rPr>
        <w:t xml:space="preserve">（加盖电子公章）</w:t>
      </w:r>
      <w:r/>
    </w:p>
    <w:p>
      <w:pPr>
        <w:rPr>
          <w:rFonts w:hint="eastAsia" w:ascii="宋体" w:hAnsi="宋体" w:eastAsia="宋体" w:cs="宋体"/>
          <w:b/>
          <w:color w:val="auto"/>
          <w:sz w:val="36"/>
          <w:szCs w:val="20"/>
          <w:highlight w:val="none"/>
          <w:lang w:val="en-US" w:eastAsia="zh-CN" w:bidi="ar-SA"/>
        </w:rPr>
      </w:pPr>
      <w:r>
        <w:rPr>
          <w:rFonts w:hint="eastAsia" w:ascii="宋体" w:hAnsi="宋体" w:eastAsia="宋体" w:cs="宋体"/>
          <w:b/>
          <w:color w:val="auto"/>
          <w:sz w:val="36"/>
          <w:szCs w:val="20"/>
          <w:highlight w:val="none"/>
          <w:lang w:val="en-US" w:eastAsia="zh-CN" w:bidi="ar-SA"/>
        </w:rPr>
        <w:t xml:space="preserve">      日      期 ：</w:t>
      </w:r>
      <w:r>
        <w:rPr>
          <w:rFonts w:hint="eastAsia" w:ascii="宋体" w:hAnsi="宋体" w:eastAsia="宋体" w:cs="宋体"/>
          <w:b/>
          <w:color w:val="auto"/>
          <w:sz w:val="36"/>
          <w:szCs w:val="20"/>
          <w:highlight w:val="none"/>
          <w:u w:val="single"/>
          <w:lang w:val="en-US" w:eastAsia="zh-CN" w:bidi="ar-SA"/>
        </w:rPr>
        <w:t xml:space="preserve">              </w:t>
      </w:r>
      <w:r/>
    </w:p>
    <w:p>
      <w:pPr>
        <w:ind w:firstLine="72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2891"/>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20"/>
        <w:jc w:val="center"/>
        <w:spacing w:line="360" w:lineRule="auto"/>
        <w:rPr>
          <w:rFonts w:hint="eastAsia" w:ascii="宋体" w:hAnsi="宋体" w:cs="宋体"/>
          <w:b/>
          <w:color w:val="auto"/>
          <w:sz w:val="44"/>
          <w:szCs w:val="44"/>
          <w:highlight w:val="none"/>
          <w:lang w:val="en-US" w:eastAsia="zh-CN"/>
        </w:rPr>
      </w:pPr>
      <w:r>
        <w:rPr>
          <w:rFonts w:hint="eastAsia" w:ascii="宋体" w:hAnsi="宋体" w:cs="宋体"/>
          <w:b/>
          <w:color w:val="auto"/>
          <w:sz w:val="44"/>
          <w:szCs w:val="44"/>
          <w:highlight w:val="none"/>
          <w:lang w:val="en-US" w:eastAsia="zh-CN"/>
        </w:rPr>
      </w:r>
      <w:r/>
    </w:p>
    <w:p>
      <w:pPr>
        <w:ind w:firstLine="420"/>
        <w:jc w:val="center"/>
        <w:spacing w:line="360" w:lineRule="auto"/>
        <w:rPr>
          <w:rFonts w:hint="eastAsia" w:ascii="宋体" w:hAnsi="宋体" w:eastAsia="宋体" w:cs="宋体"/>
          <w:color w:val="auto"/>
          <w:sz w:val="28"/>
          <w:szCs w:val="28"/>
          <w:highlight w:val="none"/>
          <w:lang w:eastAsia="zh-CN"/>
        </w:rPr>
      </w:pPr>
      <w:r>
        <w:rPr>
          <w:rFonts w:hint="eastAsia" w:ascii="宋体" w:hAnsi="宋体" w:cs="宋体"/>
          <w:b/>
          <w:color w:val="auto"/>
          <w:sz w:val="44"/>
          <w:szCs w:val="44"/>
          <w:highlight w:val="none"/>
          <w:lang w:val="en-US" w:eastAsia="zh-CN"/>
        </w:rPr>
        <w:t xml:space="preserve">目录</w:t>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562"/>
        <w:jc w:val="left"/>
        <w:widowControl/>
        <w:rPr>
          <w:rFonts w:hint="eastAsia" w:ascii="宋体" w:hAnsi="宋体" w:eastAsia="宋体" w:cs="宋体"/>
          <w:b/>
          <w:color w:val="auto"/>
          <w:sz w:val="28"/>
          <w:szCs w:val="28"/>
          <w:highlight w:val="none"/>
        </w:rPr>
      </w:pPr>
      <w:r/>
      <w:bookmarkStart w:id="244" w:name="_Toc15477"/>
      <w:r/>
      <w:bookmarkStart w:id="245" w:name="_Toc32174"/>
      <w:r/>
      <w:bookmarkStart w:id="246" w:name="_Toc17432"/>
      <w:r/>
      <w:bookmarkStart w:id="247" w:name="_Toc17161"/>
      <w:r/>
      <w:bookmarkStart w:id="248" w:name="_Toc3427"/>
      <w:r/>
      <w:bookmarkStart w:id="249" w:name="_Toc116284547"/>
      <w:r/>
      <w:bookmarkStart w:id="250" w:name="_Toc6383"/>
      <w:r/>
      <w:bookmarkStart w:id="251" w:name="_Toc28133"/>
      <w:r/>
      <w:bookmarkStart w:id="252" w:name="_Toc7719"/>
      <w:r>
        <w:rPr>
          <w:rFonts w:hint="eastAsia" w:ascii="宋体" w:hAnsi="宋体" w:eastAsia="宋体" w:cs="宋体"/>
          <w:b/>
          <w:color w:val="auto"/>
          <w:sz w:val="28"/>
          <w:szCs w:val="28"/>
          <w:highlight w:val="none"/>
        </w:rPr>
        <w:br w:type="page" w:clear="all"/>
      </w:r>
      <w:bookmarkEnd w:id="244"/>
      <w:r/>
      <w:bookmarkEnd w:id="245"/>
      <w:r/>
      <w:bookmarkEnd w:id="246"/>
      <w:r/>
      <w:bookmarkEnd w:id="247"/>
      <w:r/>
      <w:bookmarkEnd w:id="248"/>
      <w:r/>
      <w:bookmarkEnd w:id="249"/>
      <w:r/>
      <w:bookmarkEnd w:id="250"/>
      <w:r/>
      <w:bookmarkEnd w:id="251"/>
      <w:r/>
      <w:bookmarkEnd w:id="252"/>
      <w:r/>
      <w:r/>
    </w:p>
    <w:p>
      <w:pPr>
        <w:spacing w:line="360" w:lineRule="auto"/>
        <w:rPr>
          <w:rFonts w:hint="eastAsia" w:ascii="宋体" w:hAnsi="宋体" w:eastAsia="宋体" w:cs="宋体"/>
          <w:b/>
          <w:bCs/>
          <w:color w:val="auto"/>
          <w:sz w:val="24"/>
          <w:highlight w:val="none"/>
        </w:rPr>
        <w:outlineLvl w:val="2"/>
      </w:pPr>
      <w:r/>
      <w:bookmarkStart w:id="253" w:name="_Toc4605"/>
      <w:r/>
      <w:bookmarkStart w:id="254" w:name="_Toc21332"/>
      <w:r/>
      <w:bookmarkStart w:id="255" w:name="_Toc19388"/>
      <w:r/>
      <w:bookmarkStart w:id="256" w:name="_Toc20614"/>
      <w:r/>
      <w:bookmarkStart w:id="257" w:name="_Toc7973"/>
      <w:r/>
      <w:bookmarkStart w:id="258" w:name="_Toc28853"/>
      <w:r/>
      <w:bookmarkStart w:id="259" w:name="_Toc12810"/>
      <w:r/>
      <w:bookmarkStart w:id="260" w:name="_Toc7615"/>
      <w:r/>
      <w:bookmarkStart w:id="261" w:name="_Toc116284548"/>
      <w:r/>
      <w:bookmarkStart w:id="262" w:name="_Toc11107"/>
      <w:r/>
      <w:bookmarkStart w:id="263" w:name="_Toc153441904"/>
      <w:r/>
      <w:bookmarkStart w:id="264" w:name="_Toc21307"/>
      <w:r/>
      <w:bookmarkStart w:id="265" w:name="_Toc32007"/>
      <w:r/>
      <w:bookmarkStart w:id="266" w:name="_Toc8719"/>
      <w:r/>
      <w:bookmarkStart w:id="267" w:name="_Toc14055"/>
      <w:r/>
      <w:bookmarkStart w:id="268" w:name="_Toc30074"/>
      <w:r/>
      <w:bookmarkStart w:id="269" w:name="_Toc28723"/>
      <w:r/>
      <w:bookmarkStart w:id="270" w:name="_Toc14690"/>
      <w:r/>
      <w:bookmarkStart w:id="271" w:name="_Toc17979"/>
      <w:r/>
      <w:bookmarkStart w:id="272" w:name="_Toc16232"/>
      <w:r/>
      <w:bookmarkStart w:id="273" w:name="_Toc16457"/>
      <w:r/>
      <w:bookmarkStart w:id="274" w:name="_Toc21838"/>
      <w:r/>
      <w:bookmarkStart w:id="275" w:name="_Toc15125"/>
      <w:r/>
      <w:bookmarkStart w:id="276" w:name="_Toc19346"/>
      <w:r>
        <w:rPr>
          <w:rFonts w:hint="eastAsia" w:ascii="宋体" w:hAnsi="宋体" w:eastAsia="宋体" w:cs="宋体"/>
          <w:b/>
          <w:bCs/>
          <w:color w:val="auto"/>
          <w:sz w:val="24"/>
          <w:highlight w:val="none"/>
          <w:lang w:val="zh-CN"/>
        </w:rPr>
        <w:t xml:space="preserve">一、投标申请及声明格式</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72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投标申请及声明</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b/>
          <w:bCs/>
          <w:color w:val="auto"/>
          <w:sz w:val="24"/>
          <w:szCs w:val="24"/>
          <w:highlight w:val="none"/>
          <w:lang w:eastAsia="zh-CN"/>
        </w:rPr>
        <w:t xml:space="preserve">南京市公安局高淳分局</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根据贵方</w:t>
      </w:r>
      <w:r>
        <w:rPr>
          <w:rFonts w:hint="eastAsia" w:ascii="宋体" w:hAnsi="宋体" w:cs="宋体"/>
          <w:color w:val="auto"/>
          <w:sz w:val="24"/>
          <w:szCs w:val="24"/>
          <w:highlight w:val="none"/>
          <w:u w:val="single"/>
          <w:lang w:val="zh-CN"/>
        </w:rPr>
        <w:t xml:space="preserve">2026年度南京市公安局高淳分局食堂食材采购</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lang w:val="en-US" w:eastAsia="zh-CN"/>
        </w:rPr>
        <w:t xml:space="preserve">项目编号：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lang w:val="zh-CN"/>
        </w:rPr>
        <w:t xml:space="preserve">邀请，正式授权下述签字人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(姓名和职务)代表供应商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（供应商名称），提交投标文件。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32"/>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2、</w:t>
      </w:r>
      <w:bookmarkStart w:id="277" w:name="_Hlk44580673"/>
      <w:r>
        <w:rPr>
          <w:rFonts w:hint="eastAsia" w:ascii="宋体" w:hAnsi="宋体" w:eastAsia="宋体" w:cs="宋体"/>
          <w:color w:val="auto"/>
          <w:sz w:val="24"/>
          <w:szCs w:val="32"/>
          <w:highlight w:val="none"/>
        </w:rPr>
        <w:t xml:space="preserve">根据已收到的招标文件，遵照规定，我单位经现场考察和认真研究上述招标文件后，</w:t>
      </w:r>
      <w:r>
        <w:rPr>
          <w:rFonts w:hint="eastAsia" w:ascii="宋体" w:hAnsi="宋体" w:eastAsia="宋体" w:cs="宋体"/>
          <w:color w:val="auto"/>
          <w:sz w:val="24"/>
          <w:szCs w:val="32"/>
          <w:highlight w:val="none"/>
          <w:lang w:val="en-US" w:eastAsia="zh-CN"/>
        </w:rPr>
        <w:t xml:space="preserve">我方</w:t>
      </w:r>
      <w:r>
        <w:rPr>
          <w:rFonts w:hint="eastAsia" w:ascii="宋体" w:hAnsi="宋体" w:eastAsia="宋体" w:cs="宋体"/>
          <w:color w:val="auto"/>
          <w:sz w:val="24"/>
          <w:szCs w:val="32"/>
          <w:highlight w:val="none"/>
        </w:rPr>
        <w:t xml:space="preserve">投标报价</w:t>
      </w:r>
      <w:r>
        <w:rPr>
          <w:rFonts w:hint="eastAsia" w:ascii="宋体" w:hAnsi="宋体" w:eastAsia="宋体" w:cs="宋体"/>
          <w:color w:val="auto"/>
          <w:sz w:val="24"/>
          <w:szCs w:val="32"/>
          <w:highlight w:val="none"/>
          <w:lang w:val="en-US" w:eastAsia="zh-CN"/>
        </w:rPr>
        <w:t xml:space="preserve">为</w:t>
      </w:r>
      <w:r>
        <w:rPr>
          <w:rFonts w:hint="eastAsia" w:ascii="宋体" w:hAnsi="宋体" w:eastAsia="宋体" w:cs="宋体"/>
          <w:color w:val="auto"/>
          <w:sz w:val="24"/>
          <w:szCs w:val="32"/>
          <w:highlight w:val="none"/>
        </w:rPr>
        <w:t xml:space="preserve">：所有招标品类平均折扣率为：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%。（明细见</w:t>
      </w:r>
      <w:r>
        <w:rPr>
          <w:rFonts w:hint="eastAsia" w:ascii="宋体" w:hAnsi="宋体" w:cs="宋体"/>
          <w:color w:val="auto"/>
          <w:sz w:val="24"/>
          <w:szCs w:val="32"/>
          <w:highlight w:val="none"/>
          <w:lang w:val="en-US" w:eastAsia="zh-CN"/>
        </w:rPr>
        <w:t xml:space="preserve">分项报价</w:t>
      </w:r>
      <w:r>
        <w:rPr>
          <w:rFonts w:hint="eastAsia" w:ascii="宋体" w:hAnsi="宋体" w:eastAsia="宋体" w:cs="宋体"/>
          <w:color w:val="auto"/>
          <w:sz w:val="24"/>
          <w:szCs w:val="32"/>
          <w:highlight w:val="none"/>
          <w:lang w:val="en-US" w:eastAsia="zh-CN"/>
        </w:rPr>
        <w:t xml:space="preserve">表</w:t>
      </w:r>
      <w:r>
        <w:rPr>
          <w:rFonts w:hint="eastAsia" w:ascii="宋体" w:hAnsi="宋体" w:eastAsia="宋体" w:cs="宋体"/>
          <w:color w:val="auto"/>
          <w:sz w:val="24"/>
          <w:szCs w:val="32"/>
          <w:highlight w:val="none"/>
        </w:rPr>
        <w:t xml:space="preserve">）。</w:t>
      </w:r>
      <w:bookmarkEnd w:id="27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、一旦我方中标，我方将根据招标文件的规定严格履行合同，并保证于承诺的时间完成货物的配送等服务，交付采购人验收、使用。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、与本投标有关的正式联系方式为：</w:t>
      </w:r>
      <w:r/>
    </w:p>
    <w:p>
      <w:pPr>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地址：</w:t>
      </w:r>
      <w:r/>
    </w:p>
    <w:p>
      <w:pPr>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电话：</w:t>
      </w:r>
      <w:r/>
    </w:p>
    <w:p>
      <w:pPr>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传真：</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银行账号：</w:t>
      </w:r>
      <w:r/>
    </w:p>
    <w:p>
      <w:pPr>
        <w:ind w:firstLine="42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 xml:space="preserve">供应商授权代表姓名（签字）：</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供应商名称：（盖章）</w:t>
      </w:r>
      <w:r/>
    </w:p>
    <w:p>
      <w:pPr>
        <w:ind w:firstLine="420"/>
        <w:rPr>
          <w:rFonts w:hint="eastAsia" w:ascii="宋体" w:hAnsi="宋体" w:eastAsia="宋体" w:cs="宋体"/>
          <w:b/>
          <w:color w:val="auto"/>
          <w:szCs w:val="21"/>
          <w:highlight w:val="none"/>
        </w:rPr>
      </w:pPr>
      <w:r>
        <w:rPr>
          <w:rFonts w:hint="eastAsia" w:ascii="宋体" w:hAnsi="宋体" w:eastAsia="宋体" w:cs="宋体"/>
          <w:color w:val="auto"/>
          <w:sz w:val="24"/>
          <w:szCs w:val="24"/>
          <w:highlight w:val="none"/>
          <w:lang w:val="zh-CN"/>
        </w:rPr>
        <w:t xml:space="preserve">日期：年月日</w:t>
      </w:r>
      <w:r>
        <w:rPr>
          <w:rFonts w:hint="eastAsia" w:ascii="宋体" w:hAnsi="宋体" w:eastAsia="宋体" w:cs="宋体"/>
          <w:b/>
          <w:color w:val="auto"/>
          <w:szCs w:val="21"/>
          <w:highlight w:val="none"/>
        </w:rPr>
        <w:br w:type="page" w:clear="all"/>
      </w:r>
      <w:r/>
    </w:p>
    <w:p>
      <w:pPr>
        <w:spacing w:line="360" w:lineRule="auto"/>
        <w:rPr>
          <w:rFonts w:hint="eastAsia" w:ascii="宋体" w:hAnsi="宋体" w:eastAsia="宋体" w:cs="宋体"/>
          <w:color w:val="auto"/>
          <w:sz w:val="24"/>
          <w:szCs w:val="24"/>
          <w:highlight w:val="none"/>
          <w:lang w:val="zh-CN" w:eastAsia="zh-CN" w:bidi="ar-SA"/>
        </w:rPr>
      </w:pPr>
      <w:r/>
      <w:bookmarkStart w:id="278" w:name="_Toc116284549"/>
      <w:r/>
      <w:bookmarkStart w:id="279" w:name="_Toc14037"/>
      <w:r/>
      <w:bookmarkStart w:id="280" w:name="_Toc20964"/>
      <w:r/>
      <w:bookmarkStart w:id="281" w:name="_Toc25651"/>
      <w:r/>
      <w:bookmarkStart w:id="282" w:name="_Toc2764"/>
      <w:r/>
      <w:bookmarkStart w:id="283" w:name="_Toc9455"/>
      <w:r/>
      <w:bookmarkStart w:id="284" w:name="_Toc15128"/>
      <w:r/>
      <w:bookmarkStart w:id="285" w:name="_Toc21952"/>
      <w:r/>
      <w:bookmarkStart w:id="286" w:name="_Toc26837"/>
      <w:r/>
      <w:bookmarkStart w:id="287" w:name="_Toc27976"/>
      <w:r/>
      <w:bookmarkStart w:id="288" w:name="_Toc27756"/>
      <w:r/>
      <w:bookmarkStart w:id="289" w:name="_Toc28539"/>
      <w:r/>
      <w:bookmarkStart w:id="290" w:name="_Toc12838"/>
      <w:r/>
      <w:bookmarkStart w:id="291" w:name="_Toc25337"/>
      <w:r/>
      <w:bookmarkStart w:id="292" w:name="_Toc24433"/>
      <w:r/>
      <w:bookmarkStart w:id="293" w:name="_Toc372"/>
      <w:r/>
      <w:bookmarkStart w:id="294" w:name="_Toc19012"/>
      <w:r/>
      <w:bookmarkStart w:id="295" w:name="_Toc4729"/>
      <w:r/>
      <w:bookmarkStart w:id="296" w:name="_Toc18092"/>
      <w:r/>
      <w:bookmarkStart w:id="297" w:name="_Toc153441905"/>
      <w:r/>
      <w:bookmarkStart w:id="298" w:name="_Toc6266"/>
      <w:r/>
      <w:bookmarkStart w:id="299" w:name="_Toc25581"/>
      <w:r/>
      <w:bookmarkStart w:id="300" w:name="_Toc13662"/>
      <w:r>
        <w:rPr>
          <w:rFonts w:hint="eastAsia" w:ascii="宋体" w:hAnsi="宋体" w:eastAsia="宋体" w:cs="宋体"/>
          <w:b/>
          <w:bCs/>
          <w:color w:val="auto"/>
          <w:sz w:val="24"/>
          <w:highlight w:val="none"/>
        </w:rPr>
        <w:t xml:space="preserve">二、</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eastAsia="宋体" w:cs="宋体"/>
          <w:b/>
          <w:bCs/>
          <w:color w:val="auto"/>
          <w:sz w:val="24"/>
          <w:szCs w:val="24"/>
          <w:highlight w:val="none"/>
          <w:lang w:val="zh-CN" w:eastAsia="zh-CN" w:bidi="ar-SA"/>
        </w:rPr>
        <w:t xml:space="preserve">法定代表人身份证明及法定代表人授权委托书</w:t>
      </w:r>
      <w:r/>
    </w:p>
    <w:p>
      <w:pPr>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法定代表人身份证明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兹有：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同志，性别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，民族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，在我单位担任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职务，系我单位的法定代表人。</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附：法定代表人身份证（正反面）扫描件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投标人（盖章）：</w:t>
      </w:r>
      <w:r/>
    </w:p>
    <w:p>
      <w:pPr>
        <w:ind w:firstLine="48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法定代表人授权委托书</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本授权书声明：注册于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（供应商住址）的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（供应商名称）法定代表人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（法定代表人姓名、职务）代表本公司授权在下面签字的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（供应商代表姓名、职务）为本公司的合法代理人，就贵方组织的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（项目编号）投标，以本公司名义处理一切与之有关的事务。</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      年   月   日签字生效，特此声明。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供应商（公章）：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法定代表人（签字或盖章）：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授权委托人签字：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年    月    日</w:t>
      </w:r>
      <w:r/>
    </w:p>
    <w:p>
      <w:pPr>
        <w:ind w:firstLine="96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委托代理人的身份证（正反面）扫描件：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lang w:val="en-US" w:eastAsia="zh-CN" w:bidi="ar-SA"/>
        </w:rPr>
        <w:t xml:space="preserve">若为法人直接投标则只需提供“法定代表人身份证明”。若授权代表投标，则“法定代表人身份证明”和“授权委托书”均需提供</w:t>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widowControl/>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60" w:lineRule="exact"/>
        <w:rPr>
          <w:rFonts w:hint="eastAsia" w:ascii="宋体" w:hAnsi="宋体" w:eastAsia="宋体" w:cs="宋体"/>
          <w:b/>
          <w:color w:val="auto"/>
          <w:sz w:val="24"/>
          <w:highlight w:val="none"/>
          <w:lang w:val="en-US" w:eastAsia="zh-CN"/>
        </w:rPr>
        <w:outlineLvl w:val="2"/>
      </w:pPr>
      <w:r/>
      <w:bookmarkStart w:id="301" w:name="_Toc18595"/>
      <w:r/>
      <w:bookmarkStart w:id="302" w:name="_Toc15775"/>
      <w:r/>
      <w:bookmarkStart w:id="303" w:name="_Toc20565"/>
      <w:r/>
      <w:bookmarkStart w:id="304" w:name="_Toc116284550"/>
      <w:r/>
      <w:bookmarkStart w:id="305" w:name="_Toc17061"/>
      <w:r/>
      <w:bookmarkStart w:id="306" w:name="_Toc13312"/>
      <w:r/>
      <w:bookmarkStart w:id="307" w:name="_Toc30302"/>
      <w:r/>
      <w:bookmarkStart w:id="308" w:name="_Toc14609"/>
      <w:r/>
      <w:bookmarkStart w:id="309" w:name="_Toc153441906"/>
      <w:r/>
      <w:bookmarkStart w:id="310" w:name="_Toc9534"/>
      <w:r/>
      <w:bookmarkStart w:id="311" w:name="_Toc1360"/>
      <w:r/>
      <w:bookmarkStart w:id="312" w:name="_Toc31262"/>
      <w:r/>
      <w:bookmarkStart w:id="313" w:name="_Toc10997"/>
      <w:r/>
      <w:bookmarkStart w:id="314" w:name="_Toc24722"/>
      <w:r/>
      <w:bookmarkStart w:id="315" w:name="_Toc5178"/>
      <w:r/>
      <w:bookmarkStart w:id="316" w:name="_Toc3311"/>
      <w:r/>
      <w:bookmarkStart w:id="317" w:name="_Toc22679"/>
      <w:r/>
      <w:bookmarkStart w:id="318" w:name="_Toc12310"/>
      <w:r/>
      <w:bookmarkStart w:id="319" w:name="_Toc16995"/>
      <w:r/>
      <w:bookmarkStart w:id="320" w:name="_Toc22997"/>
      <w:r/>
      <w:bookmarkStart w:id="321" w:name="_Toc13424"/>
      <w:r/>
      <w:bookmarkStart w:id="322" w:name="_Toc30635"/>
      <w:r/>
      <w:bookmarkStart w:id="323" w:name="_Toc3244"/>
      <w:r/>
      <w:bookmarkStart w:id="324" w:name="_Toc24412"/>
      <w:r>
        <w:rPr>
          <w:rFonts w:hint="eastAsia" w:ascii="宋体" w:hAnsi="宋体" w:eastAsia="宋体" w:cs="宋体"/>
          <w:b/>
          <w:bCs/>
          <w:color w:val="auto"/>
          <w:sz w:val="24"/>
          <w:highlight w:val="none"/>
          <w:lang w:val="zh-CN"/>
        </w:rPr>
        <w:t xml:space="preserve">三、</w:t>
      </w:r>
      <w:bookmarkEnd w:id="301"/>
      <w:r/>
      <w:bookmarkEnd w:id="302"/>
      <w:r/>
      <w:bookmarkEnd w:id="303"/>
      <w:r/>
      <w:bookmarkEnd w:id="304"/>
      <w:r/>
      <w:bookmarkEnd w:id="305"/>
      <w:r/>
      <w:bookmarkEnd w:id="306"/>
      <w:r/>
      <w:bookmarkEnd w:id="307"/>
      <w:r/>
      <w:bookmarkEnd w:id="308"/>
      <w:r/>
      <w:bookmarkEnd w:id="309"/>
      <w:r/>
      <w:bookmarkEnd w:id="310"/>
      <w:r>
        <w:rPr>
          <w:rFonts w:hint="eastAsia" w:ascii="宋体" w:hAnsi="宋体" w:eastAsia="宋体" w:cs="宋体"/>
          <w:b/>
          <w:bCs/>
          <w:color w:val="auto"/>
          <w:sz w:val="24"/>
          <w:highlight w:val="none"/>
          <w:lang w:val="zh-CN"/>
        </w:rPr>
        <w:t xml:space="preserve">资格证明文件</w:t>
      </w:r>
      <w:r>
        <w:rPr>
          <w:rFonts w:hint="eastAsia" w:ascii="宋体" w:hAnsi="宋体" w:eastAsia="宋体" w:cs="宋体"/>
          <w:b/>
          <w:bCs/>
          <w:color w:val="auto"/>
          <w:sz w:val="24"/>
          <w:highlight w:val="none"/>
          <w:lang w:val="en-US" w:eastAsia="zh-CN"/>
        </w:rPr>
        <w:t xml:space="preserve">及资格承诺函</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090"/>
        <w:rPr>
          <w:rFonts w:hint="eastAsia" w:ascii="宋体" w:hAnsi="宋体" w:eastAsia="宋体" w:cs="宋体"/>
          <w:color w:val="auto"/>
          <w:highlight w:val="none"/>
        </w:rPr>
      </w:pPr>
      <w:r>
        <w:rPr>
          <w:rFonts w:hint="eastAsia" w:ascii="宋体" w:hAnsi="宋体" w:eastAsia="宋体" w:cs="宋体"/>
          <w:color w:val="auto"/>
          <w:highlight w:val="none"/>
        </w:rPr>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color w:val="auto"/>
          <w:sz w:val="24"/>
          <w:highlight w:val="none"/>
          <w:lang w:val="en-US" w:eastAsia="zh-CN"/>
        </w:rPr>
        <w:t xml:space="preserve">3.1</w:t>
      </w:r>
      <w:r>
        <w:rPr>
          <w:rFonts w:hint="eastAsia" w:ascii="宋体" w:hAnsi="宋体" w:eastAsia="宋体" w:cs="宋体"/>
          <w:b/>
          <w:color w:val="auto"/>
          <w:sz w:val="32"/>
          <w:szCs w:val="32"/>
          <w:highlight w:val="none"/>
          <w:lang w:val="zh-CN"/>
        </w:rPr>
        <w:t xml:space="preserve">供应商资格承诺函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zh-CN" w:bidi="ar"/>
        </w:rPr>
        <w:t xml:space="preserve">致</w:t>
      </w:r>
      <w:r>
        <w:rPr>
          <w:rFonts w:hint="eastAsia" w:ascii="宋体" w:hAnsi="宋体" w:eastAsia="宋体" w:cs="宋体"/>
          <w:color w:val="auto"/>
          <w:sz w:val="32"/>
          <w:szCs w:val="32"/>
          <w:highlight w:val="none"/>
          <w:lang w:val="zh-CN" w:bidi="ar"/>
        </w:rPr>
        <w:t xml:space="preserve">：</w:t>
      </w:r>
      <w:r>
        <w:rPr>
          <w:rFonts w:hint="eastAsia" w:ascii="宋体" w:hAnsi="宋体" w:eastAsia="宋体" w:cs="宋体"/>
          <w:b/>
          <w:bCs/>
          <w:color w:val="auto"/>
          <w:sz w:val="24"/>
          <w:szCs w:val="24"/>
          <w:highlight w:val="none"/>
          <w:lang w:eastAsia="zh-CN"/>
        </w:rPr>
        <w:t xml:space="preserve">南京市公安局高淳分局</w:t>
      </w:r>
      <w:r>
        <w:rPr>
          <w:rFonts w:hint="eastAsia" w:ascii="宋体" w:hAnsi="宋体" w:eastAsia="宋体" w:cs="宋体"/>
          <w:color w:val="auto"/>
          <w:sz w:val="32"/>
          <w:szCs w:val="32"/>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我公司</w:t>
      </w:r>
      <w:r>
        <w:rPr>
          <w:rFonts w:hint="eastAsia" w:ascii="宋体" w:hAnsi="宋体" w:eastAsia="宋体" w:cs="宋体"/>
          <w:color w:val="auto"/>
          <w:sz w:val="24"/>
          <w:szCs w:val="24"/>
          <w:highlight w:val="none"/>
          <w:u w:val="single"/>
          <w:lang w:bidi="ar"/>
        </w:rPr>
        <w:tab/>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(供应商名称）郑重承诺：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我公司符合下列要求：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（1）4.1满足《中华人民共和国政府采购法》第二十二条规定；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bidi="ar"/>
        </w:rPr>
        <w:t xml:space="preserve">如果我公司中标（成交），将在结果公告发布后7个工作日内向采购人提供</w:t>
      </w:r>
      <w:r>
        <w:rPr>
          <w:rFonts w:hint="eastAsia" w:ascii="宋体" w:hAnsi="宋体" w:eastAsia="宋体" w:cs="宋体"/>
          <w:color w:val="auto"/>
          <w:sz w:val="24"/>
          <w:szCs w:val="24"/>
          <w:highlight w:val="none"/>
          <w:lang w:val="en-US" w:eastAsia="zh-CN" w:bidi="ar"/>
        </w:rPr>
        <w:t xml:space="preserve">资格证明</w:t>
      </w:r>
      <w:r>
        <w:rPr>
          <w:rFonts w:hint="eastAsia" w:ascii="宋体" w:hAnsi="宋体" w:eastAsia="宋体" w:cs="宋体"/>
          <w:color w:val="auto"/>
          <w:sz w:val="24"/>
          <w:szCs w:val="24"/>
          <w:highlight w:val="none"/>
          <w:lang w:bidi="ar"/>
        </w:rPr>
        <w:t xml:space="preserve">材料核验</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本公司对上述承诺的真实性负责，如有虚假，将依法承担相应责任。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ind w:right="0"/>
        <w:jc w:val="center"/>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（盖章）：            </w:t>
      </w:r>
      <w:r/>
    </w:p>
    <w:p>
      <w:pPr>
        <w:ind w:right="0"/>
        <w:jc w:val="righ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授权代表签字：             </w:t>
      </w:r>
      <w:r/>
    </w:p>
    <w:p>
      <w:pPr>
        <w:ind w:right="0"/>
        <w:jc w:val="right"/>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color w:val="auto"/>
          <w:sz w:val="24"/>
          <w:szCs w:val="24"/>
          <w:highlight w:val="none"/>
          <w:lang w:val="zh-CN"/>
        </w:rPr>
        <w:t xml:space="preserve">日    期：    年    月   日</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56"/>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b/>
          <w:bCs/>
          <w:color w:val="auto"/>
          <w:sz w:val="24"/>
          <w:highlight w:val="none"/>
          <w:lang w:val="zh-CN"/>
        </w:rPr>
      </w:pPr>
      <w:r/>
      <w:bookmarkStart w:id="325" w:name="_Toc22171"/>
      <w:r/>
      <w:bookmarkStart w:id="326" w:name="_Toc4138"/>
      <w:r/>
      <w:bookmarkStart w:id="327" w:name="_Toc484"/>
      <w:r/>
      <w:bookmarkStart w:id="328" w:name="_Toc32377"/>
      <w:r/>
      <w:bookmarkStart w:id="329" w:name="_Toc7805"/>
      <w:r/>
      <w:bookmarkStart w:id="330" w:name="_Toc26010"/>
      <w:r>
        <w:rPr>
          <w:rFonts w:hint="eastAsia" w:ascii="宋体" w:hAnsi="宋体" w:eastAsia="宋体" w:cs="宋体"/>
          <w:b/>
          <w:bCs/>
          <w:color w:val="auto"/>
          <w:sz w:val="24"/>
          <w:highlight w:val="none"/>
          <w:lang w:val="en-US" w:eastAsia="zh-CN"/>
        </w:rPr>
        <w:t xml:space="preserve">3.2</w:t>
      </w:r>
      <w:r>
        <w:rPr>
          <w:rFonts w:hint="eastAsia" w:ascii="宋体" w:hAnsi="宋体" w:eastAsia="宋体" w:cs="宋体"/>
          <w:b/>
          <w:bCs/>
          <w:color w:val="auto"/>
          <w:sz w:val="24"/>
          <w:highlight w:val="none"/>
          <w:lang w:val="zh-CN"/>
        </w:rPr>
        <w:t xml:space="preserve">资格证明文件</w:t>
      </w:r>
      <w:r/>
    </w:p>
    <w:p>
      <w:pPr>
        <w:jc w:val="left"/>
        <w:rPr>
          <w:rFonts w:hint="eastAsia" w:ascii="宋体" w:hAnsi="宋体" w:eastAsia="宋体" w:cs="宋体"/>
          <w:b/>
          <w:bCs/>
          <w:color w:val="auto"/>
          <w:sz w:val="24"/>
          <w:highlight w:val="none"/>
        </w:rPr>
      </w:pPr>
      <w:r/>
      <w:bookmarkStart w:id="331" w:name="_Toc6641"/>
      <w:r/>
      <w:bookmarkStart w:id="332" w:name="_Toc21459"/>
      <w:r/>
      <w:bookmarkStart w:id="333" w:name="_Toc22690"/>
      <w:r/>
      <w:bookmarkStart w:id="334" w:name="_Toc153441907"/>
      <w:r/>
      <w:bookmarkStart w:id="335" w:name="_Toc116284551"/>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22"/>
        <w:rPr>
          <w:rFonts w:hint="eastAsia" w:ascii="宋体" w:hAnsi="宋体" w:cs="宋体"/>
          <w:b/>
          <w:bCs/>
          <w:color w:val="auto"/>
          <w:sz w:val="24"/>
          <w:highlight w:val="none"/>
          <w:lang w:val="en-US" w:eastAsia="zh-CN"/>
        </w:rPr>
        <w:sectPr>
          <w:footerReference w:type="default" r:id="rId16"/>
          <w:footnotePr/>
          <w:endnotePr/>
          <w:type w:val="nextPage"/>
          <w:pgSz w:w="11906" w:h="16838" w:orient="portrait"/>
          <w:pgMar w:top="1134" w:right="1020" w:bottom="1134" w:left="1020" w:header="720" w:footer="720" w:gutter="0"/>
          <w:cols w:num="1" w:sep="0" w:space="720" w:equalWidth="1"/>
          <w:docGrid w:linePitch="360"/>
        </w:sectPr>
      </w:pPr>
      <w:r>
        <w:rPr>
          <w:rFonts w:hint="eastAsia" w:ascii="宋体" w:hAnsi="宋体" w:cs="宋体"/>
          <w:b/>
          <w:bCs/>
          <w:color w:val="auto"/>
          <w:sz w:val="24"/>
          <w:highlight w:val="none"/>
          <w:lang w:val="en-US" w:eastAsia="zh-CN"/>
        </w:rPr>
      </w:r>
      <w:r/>
    </w:p>
    <w:p>
      <w:pPr>
        <w:ind w:firstLine="422"/>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四、开标一览表</w:t>
      </w:r>
      <w:r/>
    </w:p>
    <w:p>
      <w:pPr>
        <w:ind w:firstLine="422"/>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开标一览表</w:t>
      </w:r>
      <w:r/>
    </w:p>
    <w:tbl>
      <w:tblPr>
        <w:tblStyle w:val="745"/>
        <w:tblW w:w="9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64"/>
        <w:gridCol w:w="2998"/>
        <w:gridCol w:w="5057"/>
      </w:tblGrid>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投标平均优惠率（%）</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满足采购文件要求</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（如有优惠条件在此注明）</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供应商是否属于小微型企业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供应商是否属于残疾人福利性单位</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供应商是否属于监狱企业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r>
    </w:tbl>
    <w:p>
      <w:pPr>
        <w:jc w:val="left"/>
        <w:spacing w:line="48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投标单位（盖章）：</w:t>
      </w:r>
      <w:r>
        <w:rPr>
          <w:rFonts w:hint="eastAsia" w:ascii="宋体" w:hAnsi="宋体" w:eastAsia="宋体" w:cs="宋体"/>
          <w:color w:val="auto"/>
          <w:szCs w:val="21"/>
          <w:highlight w:val="none"/>
          <w:u w:val="single"/>
        </w:rPr>
        <w:t xml:space="preserve">                             </w:t>
      </w:r>
      <w:r/>
    </w:p>
    <w:p>
      <w:pPr>
        <w:jc w:val="left"/>
        <w:spacing w:line="480" w:lineRule="auto"/>
        <w:shd w:val="clear" w:color="auto" w:fill="ffffff"/>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法定代表人或授权代表（签字或签章）：</w:t>
      </w:r>
      <w:r>
        <w:rPr>
          <w:rFonts w:hint="eastAsia" w:ascii="宋体" w:hAnsi="宋体" w:eastAsia="宋体" w:cs="宋体"/>
          <w:color w:val="auto"/>
          <w:szCs w:val="21"/>
          <w:highlight w:val="none"/>
          <w:u w:val="single"/>
        </w:rPr>
        <w:t xml:space="preserve">                   </w:t>
      </w:r>
      <w:r/>
    </w:p>
    <w:p>
      <w:pPr>
        <w:jc w:val="left"/>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ind w:firstLine="422"/>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说明：</w:t>
      </w:r>
      <w:r>
        <w:rPr>
          <w:rFonts w:hint="eastAsia" w:ascii="宋体" w:hAnsi="宋体" w:eastAsia="宋体" w:cs="宋体"/>
          <w:b/>
          <w:bCs/>
          <w:color w:val="auto"/>
          <w:szCs w:val="21"/>
          <w:highlight w:val="none"/>
        </w:rPr>
        <w:t xml:space="preserve">本项目仅接受一个价格，不得填报有选择性报价方案。若有优惠条款须注明，但不得影响报价，影响产品整体功能。2、“投标标的是否全部由小微企业提供</w:t>
      </w:r>
      <w:r>
        <w:rPr>
          <w:rFonts w:hint="eastAsia" w:ascii="宋体" w:hAnsi="宋体" w:eastAsia="宋体" w:cs="宋体"/>
          <w:b/>
          <w:bCs/>
          <w:color w:val="auto"/>
          <w:szCs w:val="21"/>
          <w:highlight w:val="none"/>
          <w:lang w:val="zh-CN"/>
        </w:rPr>
        <w:t xml:space="preserve">”栏内填写“是”或“否”。如填写“是”，供应商</w:t>
      </w:r>
      <w:r>
        <w:rPr>
          <w:rFonts w:hint="eastAsia" w:ascii="宋体" w:hAnsi="宋体" w:eastAsia="宋体" w:cs="宋体"/>
          <w:b/>
          <w:bCs/>
          <w:color w:val="auto"/>
          <w:szCs w:val="21"/>
          <w:highlight w:val="none"/>
        </w:rPr>
        <w:t xml:space="preserve">应按采购文件要求提供《中小企业声明函》、《残疾人福利性单位声明函》、《属于监狱企业的证明文件》。如未按要求提供、填写，或相关内容表述不清前后矛盾的，不享受价格扣除。</w:t>
      </w:r>
      <w:r/>
    </w:p>
    <w:p>
      <w:pPr>
        <w:pStyle w:val="746"/>
        <w:rPr>
          <w:rFonts w:hint="eastAsia"/>
          <w:color w:val="auto"/>
          <w:highlight w:val="none"/>
          <w:lang w:val="en-US" w:eastAsia="zh-CN"/>
        </w:rPr>
        <w:sectPr>
          <w:footnotePr/>
          <w:endnotePr/>
          <w:type w:val="nextPage"/>
          <w:pgSz w:w="11906" w:h="16838" w:orient="portrait"/>
          <w:pgMar w:top="1134" w:right="1020" w:bottom="1134" w:left="1020" w:header="720" w:footer="720" w:gutter="0"/>
          <w:cols w:num="1" w:sep="0" w:space="720" w:equalWidth="1"/>
          <w:docGrid w:linePitch="360"/>
        </w:sectPr>
      </w:pPr>
      <w:r>
        <w:rPr>
          <w:rFonts w:hint="eastAsia"/>
          <w:color w:val="auto"/>
          <w:highlight w:val="none"/>
          <w:lang w:val="en-US" w:eastAsia="zh-CN"/>
        </w:rPr>
      </w:r>
      <w:r/>
    </w:p>
    <w:p>
      <w:pPr>
        <w:ind w:firstLine="422"/>
        <w:rPr>
          <w:rFonts w:hint="eastAsia" w:ascii="宋体" w:hAnsi="宋体" w:eastAsia="宋体" w:cs="宋体"/>
          <w:b/>
          <w:color w:val="auto"/>
          <w:szCs w:val="21"/>
          <w:highlight w:val="none"/>
        </w:rPr>
      </w:pP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lang w:val="zh-CN"/>
        </w:rPr>
        <w:t xml:space="preserve">、</w:t>
      </w:r>
      <w:bookmarkEnd w:id="331"/>
      <w:r/>
      <w:bookmarkEnd w:id="332"/>
      <w:r/>
      <w:bookmarkEnd w:id="333"/>
      <w:r/>
      <w:bookmarkEnd w:id="334"/>
      <w:r/>
      <w:bookmarkEnd w:id="335"/>
      <w:r/>
      <w:bookmarkStart w:id="336" w:name="_Toc27337"/>
      <w:r/>
      <w:bookmarkStart w:id="337" w:name="_Toc336"/>
      <w:r/>
      <w:bookmarkStart w:id="338" w:name="_Toc32644"/>
      <w:r/>
      <w:bookmarkStart w:id="339" w:name="_Toc20812"/>
      <w:r/>
      <w:bookmarkStart w:id="340" w:name="_Toc30782"/>
      <w:r/>
      <w:bookmarkStart w:id="341" w:name="_Toc19038"/>
      <w:r/>
      <w:bookmarkStart w:id="342" w:name="_Toc149220299"/>
      <w:r/>
      <w:bookmarkStart w:id="343" w:name="_Toc3432"/>
      <w:r/>
      <w:bookmarkStart w:id="344" w:name="_Toc8455"/>
      <w:r/>
      <w:bookmarkStart w:id="345" w:name="_Toc153441911"/>
      <w:r/>
      <w:bookmarkStart w:id="346" w:name="_Toc30780"/>
      <w:r/>
      <w:bookmarkStart w:id="347" w:name="_Toc21738"/>
      <w:r/>
      <w:bookmarkStart w:id="348" w:name="_Toc25078"/>
      <w:r/>
      <w:bookmarkStart w:id="349" w:name="_Toc569"/>
      <w:r/>
      <w:bookmarkStart w:id="350" w:name="_Toc9304"/>
      <w:r/>
      <w:bookmarkStart w:id="351" w:name="_Toc19781"/>
      <w:r/>
      <w:bookmarkStart w:id="352" w:name="_Toc3646"/>
      <w:r/>
      <w:bookmarkStart w:id="353" w:name="_Toc19578"/>
      <w:r/>
      <w:bookmarkStart w:id="354" w:name="_Toc5771"/>
      <w:r>
        <w:rPr>
          <w:rFonts w:hint="eastAsia" w:ascii="宋体" w:hAnsi="宋体" w:eastAsia="宋体" w:cs="宋体"/>
          <w:b/>
          <w:color w:val="auto"/>
          <w:sz w:val="24"/>
          <w:szCs w:val="24"/>
          <w:highlight w:val="none"/>
        </w:rPr>
        <w:t xml:space="preserve">投标分项报价表</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281"/>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投标分项报价表</w:t>
      </w:r>
      <w:r/>
    </w:p>
    <w:tbl>
      <w:tblPr>
        <w:tblStyle w:val="745"/>
        <w:tblW w:w="512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94"/>
        <w:gridCol w:w="3887"/>
        <w:gridCol w:w="1281"/>
        <w:gridCol w:w="415"/>
        <w:gridCol w:w="2676"/>
        <w:gridCol w:w="244"/>
        <w:gridCol w:w="533"/>
      </w:tblGrid>
      <w:tr>
        <w:trPr>
          <w:jc w:val="center"/>
          <w:trHeight w:val="436"/>
        </w:trPr>
        <w:tc>
          <w:tcPr>
            <w:gridSpan w:val="3"/>
            <w:tcBorders>
              <w:top w:val="none" w:color="000000" w:sz="4" w:space="0"/>
              <w:left w:val="none" w:color="000000" w:sz="4" w:space="0"/>
              <w:right w:val="none" w:color="000000" w:sz="4" w:space="0"/>
            </w:tcBorders>
            <w:tcW w:w="3127" w:type="pct"/>
            <w:vAlign w:val="center"/>
            <w:textDirection w:val="lrTb"/>
            <w:noWrap w:val="false"/>
          </w:tcPr>
          <w:p>
            <w:pPr>
              <w:jc w:val="left"/>
              <w:spacing w:line="360" w:lineRule="auto"/>
              <w:widowControl/>
              <w:rPr>
                <w:rFonts w:hint="eastAsia" w:ascii="宋体" w:hAnsi="宋体" w:eastAsia="宋体" w:cs="宋体"/>
                <w:color w:val="auto"/>
                <w:sz w:val="24"/>
                <w:highlight w:val="none"/>
                <w:lang w:val="zh-CN"/>
              </w:rPr>
            </w:pPr>
            <w:r/>
            <w:bookmarkStart w:id="355" w:name="_Toc6354"/>
            <w:r/>
            <w:bookmarkStart w:id="356" w:name="_Toc15216"/>
            <w:r>
              <w:rPr>
                <w:rFonts w:hint="eastAsia" w:ascii="宋体" w:hAnsi="宋体" w:eastAsia="宋体" w:cs="宋体"/>
                <w:color w:val="auto"/>
                <w:sz w:val="24"/>
                <w:highlight w:val="none"/>
                <w:lang w:val="zh-CN"/>
              </w:rPr>
              <w:t xml:space="preserve">项目名称： </w:t>
            </w:r>
            <w:r/>
          </w:p>
        </w:tc>
        <w:tc>
          <w:tcPr>
            <w:gridSpan w:val="2"/>
            <w:tcBorders>
              <w:top w:val="none" w:color="000000" w:sz="4" w:space="0"/>
              <w:left w:val="none" w:color="000000" w:sz="4" w:space="0"/>
              <w:right w:val="none" w:color="000000" w:sz="4" w:space="0"/>
            </w:tcBorders>
            <w:tcW w:w="1496" w:type="pct"/>
            <w:vAlign w:val="center"/>
            <w:textDirection w:val="lrTb"/>
            <w:noWrap w:val="false"/>
          </w:tcPr>
          <w:p>
            <w:pPr>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项目编号：     </w:t>
            </w:r>
            <w:r/>
          </w:p>
        </w:tc>
        <w:tc>
          <w:tcPr>
            <w:tcBorders>
              <w:top w:val="none" w:color="000000" w:sz="4" w:space="0"/>
              <w:left w:val="none" w:color="000000" w:sz="4" w:space="0"/>
              <w:right w:val="none" w:color="000000" w:sz="4" w:space="0"/>
            </w:tcBorders>
            <w:tcW w:w="118" w:type="pct"/>
            <w:vAlign w:val="top"/>
            <w:textDirection w:val="lrTb"/>
            <w:noWrap w:val="false"/>
          </w:tcPr>
          <w:p>
            <w:pPr>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tc>
        <w:tc>
          <w:tcPr>
            <w:tcBorders>
              <w:top w:val="none" w:color="000000" w:sz="4" w:space="0"/>
              <w:left w:val="none" w:color="000000" w:sz="4" w:space="0"/>
              <w:right w:val="none" w:color="000000" w:sz="4" w:space="0"/>
            </w:tcBorders>
            <w:tcW w:w="257" w:type="pct"/>
            <w:vAlign w:val="top"/>
            <w:textDirection w:val="lrTb"/>
            <w:noWrap w:val="false"/>
          </w:tcPr>
          <w:p>
            <w:pPr>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jc w:val="center"/>
          <w:trHeight w:val="1143"/>
        </w:trPr>
        <w:tc>
          <w:tcPr>
            <w:tcW w:w="626" w:type="pct"/>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gridSpan w:val="3"/>
            <w:tcW w:w="2702" w:type="pct"/>
            <w:vAlign w:val="center"/>
            <w:textDirection w:val="lrTb"/>
            <w:noWrap w:val="false"/>
          </w:tcPr>
          <w:p>
            <w:pPr>
              <w:jc w:val="center"/>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名称</w:t>
            </w:r>
            <w:r/>
          </w:p>
        </w:tc>
        <w:tc>
          <w:tcPr>
            <w:gridSpan w:val="3"/>
            <w:tcW w:w="1671" w:type="pct"/>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p>
            <w:pPr>
              <w:ind w:left="0" w:firstLine="0"/>
              <w:jc w:val="center"/>
              <w:spacing w:after="120"/>
              <w:widowControl w:val="off"/>
              <w:rPr>
                <w:rFonts w:hint="eastAsia" w:ascii="Calibri" w:hAnsi="Calibri" w:eastAsia="宋体" w:cs="Times New Roman"/>
                <w:color w:val="auto"/>
                <w:sz w:val="21"/>
                <w:szCs w:val="24"/>
                <w:highlight w:val="none"/>
              </w:rPr>
            </w:pPr>
            <w:r>
              <w:rPr>
                <w:rFonts w:hint="eastAsia" w:ascii="Calibri" w:hAnsi="Calibri" w:eastAsia="宋体" w:cs="Times New Roman"/>
                <w:color w:val="auto"/>
                <w:sz w:val="21"/>
                <w:szCs w:val="24"/>
                <w:highlight w:val="none"/>
              </w:rPr>
              <w:t xml:space="preserve">报价格式举例：</w:t>
            </w:r>
            <w:r/>
          </w:p>
          <w:p>
            <w:pPr>
              <w:ind w:left="0" w:firstLine="0"/>
              <w:jc w:val="center"/>
              <w:spacing w:after="120"/>
              <w:widowControl w:val="off"/>
              <w:rPr>
                <w:rFonts w:hint="default" w:ascii="Calibri" w:hAnsi="Calibri" w:eastAsia="宋体" w:cs="Times New Roman"/>
                <w:color w:val="auto"/>
                <w:sz w:val="21"/>
                <w:szCs w:val="24"/>
                <w:highlight w:val="none"/>
              </w:rPr>
            </w:pPr>
            <w:r>
              <w:rPr>
                <w:rFonts w:hint="eastAsia" w:ascii="Calibri" w:hAnsi="Calibri" w:eastAsia="宋体" w:cs="Times New Roman"/>
                <w:color w:val="auto"/>
                <w:sz w:val="21"/>
                <w:szCs w:val="24"/>
                <w:highlight w:val="none"/>
              </w:rPr>
              <w:t xml:space="preserve">投标折扣率98%（即</w:t>
            </w:r>
            <w:r>
              <w:rPr>
                <w:rFonts w:hint="eastAsia" w:cs="Times New Roman"/>
                <w:color w:val="auto"/>
                <w:sz w:val="21"/>
                <w:szCs w:val="24"/>
                <w:highlight w:val="none"/>
                <w:lang w:eastAsia="zh-CN"/>
              </w:rPr>
              <w:t xml:space="preserve">优惠率</w:t>
            </w:r>
            <w:r>
              <w:rPr>
                <w:rFonts w:hint="eastAsia" w:ascii="Calibri" w:hAnsi="Calibri" w:eastAsia="宋体" w:cs="Times New Roman"/>
                <w:color w:val="auto"/>
                <w:sz w:val="21"/>
                <w:szCs w:val="24"/>
                <w:highlight w:val="none"/>
              </w:rPr>
              <w:t xml:space="preserve">为2%）</w:t>
            </w:r>
            <w:r/>
          </w:p>
        </w:tc>
      </w:tr>
      <w:tr>
        <w:trPr>
          <w:jc w:val="center"/>
          <w:trHeight w:val="629"/>
        </w:trPr>
        <w:tc>
          <w:tcPr>
            <w:tcW w:w="626" w:type="pct"/>
            <w:vAlign w:val="center"/>
            <w:textDirection w:val="lrTb"/>
            <w:noWrap w:val="false"/>
          </w:tcPr>
          <w:p>
            <w:pPr>
              <w:jc w:val="cente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gridSpan w:val="3"/>
            <w:tcW w:w="2702"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水产、肉类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家禽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蛋</w:t>
            </w:r>
            <w:r>
              <w:rPr>
                <w:rFonts w:hint="eastAsia" w:ascii="宋体" w:hAnsi="宋体" w:eastAsia="宋体" w:cs="宋体"/>
                <w:color w:val="auto"/>
                <w:sz w:val="24"/>
                <w:highlight w:val="none"/>
                <w:lang w:eastAsia="zh-CN"/>
              </w:rPr>
              <w:t xml:space="preserve">）</w:t>
            </w:r>
            <w:r/>
          </w:p>
        </w:tc>
        <w:tc>
          <w:tcPr>
            <w:gridSpan w:val="3"/>
            <w:tcW w:w="1671" w:type="pct"/>
            <w:vAlign w:val="center"/>
            <w:textDirection w:val="lrTb"/>
            <w:noWrap w:val="false"/>
          </w:tcPr>
          <w:p>
            <w:pPr>
              <w:jc w:val="center"/>
              <w:spacing w:line="360" w:lineRule="exact"/>
              <w:widowControl/>
              <w:rPr>
                <w:rFonts w:eastAsia="宋体"/>
                <w:color w:val="auto"/>
                <w:highlight w:val="none"/>
              </w:rPr>
            </w:pPr>
            <w:r>
              <w:rPr>
                <w:rFonts w:hint="eastAsia" w:eastAsia="宋体"/>
                <w:color w:val="auto"/>
                <w:highlight w:val="none"/>
              </w:rPr>
              <w:t xml:space="preserve">折扣率xx%（即</w:t>
            </w:r>
            <w:r>
              <w:rPr>
                <w:rFonts w:hint="eastAsia"/>
                <w:color w:val="auto"/>
                <w:highlight w:val="none"/>
                <w:lang w:eastAsia="zh-CN"/>
              </w:rPr>
              <w:t xml:space="preserve">优惠率</w:t>
            </w:r>
            <w:r>
              <w:rPr>
                <w:rFonts w:hint="eastAsia" w:eastAsia="宋体"/>
                <w:color w:val="auto"/>
                <w:highlight w:val="none"/>
              </w:rPr>
              <w:t xml:space="preserve">为xx%）</w:t>
            </w:r>
            <w:r/>
          </w:p>
        </w:tc>
      </w:tr>
      <w:tr>
        <w:trPr>
          <w:jc w:val="center"/>
          <w:trHeight w:val="629"/>
        </w:trPr>
        <w:tc>
          <w:tcPr>
            <w:tcW w:w="626" w:type="pct"/>
            <w:vAlign w:val="center"/>
            <w:textDirection w:val="lrTb"/>
            <w:noWrap w:val="false"/>
          </w:tcPr>
          <w:p>
            <w:pPr>
              <w:jc w:val="cente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gridSpan w:val="3"/>
            <w:tcW w:w="2702"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冷冻制品</w:t>
            </w:r>
            <w:r/>
          </w:p>
        </w:tc>
        <w:tc>
          <w:tcPr>
            <w:gridSpan w:val="3"/>
            <w:tcW w:w="1671" w:type="pct"/>
            <w:vAlign w:val="center"/>
            <w:textDirection w:val="lrTb"/>
            <w:noWrap w:val="false"/>
          </w:tcPr>
          <w:p>
            <w:pPr>
              <w:jc w:val="center"/>
              <w:spacing w:line="360" w:lineRule="exact"/>
              <w:widowControl/>
              <w:rPr>
                <w:rFonts w:hint="eastAsia" w:eastAsia="宋体"/>
                <w:color w:val="auto"/>
                <w:highlight w:val="none"/>
                <w:lang w:val="zh-CN"/>
              </w:rPr>
            </w:pPr>
            <w:r>
              <w:rPr>
                <w:rFonts w:hint="eastAsia" w:eastAsia="宋体"/>
                <w:color w:val="auto"/>
                <w:highlight w:val="none"/>
              </w:rPr>
              <w:t xml:space="preserve">折扣率xx%（即</w:t>
            </w:r>
            <w:r>
              <w:rPr>
                <w:rFonts w:hint="eastAsia"/>
                <w:color w:val="auto"/>
                <w:highlight w:val="none"/>
                <w:lang w:eastAsia="zh-CN"/>
              </w:rPr>
              <w:t xml:space="preserve">优惠率</w:t>
            </w:r>
            <w:r>
              <w:rPr>
                <w:rFonts w:hint="eastAsia" w:eastAsia="宋体"/>
                <w:color w:val="auto"/>
                <w:highlight w:val="none"/>
              </w:rPr>
              <w:t xml:space="preserve">为xx%）</w:t>
            </w:r>
            <w:r/>
          </w:p>
        </w:tc>
      </w:tr>
      <w:tr>
        <w:trPr>
          <w:jc w:val="center"/>
          <w:trHeight w:val="629"/>
        </w:trPr>
        <w:tc>
          <w:tcPr>
            <w:tcW w:w="626" w:type="pct"/>
            <w:vAlign w:val="center"/>
            <w:textDirection w:val="lrTb"/>
            <w:noWrap w:val="false"/>
          </w:tcPr>
          <w:p>
            <w:pPr>
              <w:jc w:val="center"/>
              <w:spacing w:line="36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gridSpan w:val="3"/>
            <w:tcW w:w="2702"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蔬菜类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豆制品</w:t>
            </w:r>
            <w:r/>
          </w:p>
        </w:tc>
        <w:tc>
          <w:tcPr>
            <w:gridSpan w:val="3"/>
            <w:tcW w:w="1671" w:type="pct"/>
            <w:vAlign w:val="center"/>
            <w:textDirection w:val="lrTb"/>
            <w:noWrap w:val="false"/>
          </w:tcPr>
          <w:p>
            <w:pPr>
              <w:jc w:val="center"/>
              <w:spacing w:line="360" w:lineRule="exact"/>
              <w:widowControl/>
              <w:rPr>
                <w:rFonts w:hint="eastAsia" w:eastAsia="宋体"/>
                <w:color w:val="auto"/>
                <w:highlight w:val="none"/>
                <w:lang w:val="zh-CN"/>
              </w:rPr>
            </w:pPr>
            <w:r>
              <w:rPr>
                <w:rFonts w:hint="eastAsia" w:eastAsia="宋体"/>
                <w:color w:val="auto"/>
                <w:highlight w:val="none"/>
              </w:rPr>
              <w:t xml:space="preserve">折扣率xx%（即</w:t>
            </w:r>
            <w:r>
              <w:rPr>
                <w:rFonts w:hint="eastAsia"/>
                <w:color w:val="auto"/>
                <w:highlight w:val="none"/>
                <w:lang w:eastAsia="zh-CN"/>
              </w:rPr>
              <w:t xml:space="preserve">优惠率</w:t>
            </w:r>
            <w:r>
              <w:rPr>
                <w:rFonts w:hint="eastAsia" w:eastAsia="宋体"/>
                <w:color w:val="auto"/>
                <w:highlight w:val="none"/>
              </w:rPr>
              <w:t xml:space="preserve">为xx%）</w:t>
            </w:r>
            <w:r/>
          </w:p>
        </w:tc>
      </w:tr>
      <w:tr>
        <w:trPr>
          <w:jc w:val="center"/>
          <w:trHeight w:val="629"/>
        </w:trPr>
        <w:tc>
          <w:tcPr>
            <w:tcW w:w="626" w:type="pct"/>
            <w:vAlign w:val="center"/>
            <w:textDirection w:val="lrTb"/>
            <w:noWrap w:val="false"/>
          </w:tcPr>
          <w:p>
            <w:pPr>
              <w:jc w:val="cente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2702" w:type="pct"/>
            <w:vAlign w:val="center"/>
            <w:textDirection w:val="lrTb"/>
            <w:noWrap w:val="false"/>
          </w:tcPr>
          <w:p>
            <w:pPr>
              <w:jc w:val="center"/>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粮油及</w:t>
            </w:r>
            <w:r>
              <w:rPr>
                <w:rFonts w:hint="eastAsia" w:ascii="宋体" w:hAnsi="宋体" w:eastAsia="宋体" w:cs="宋体"/>
                <w:color w:val="auto"/>
                <w:sz w:val="24"/>
                <w:highlight w:val="none"/>
              </w:rPr>
              <w:t xml:space="preserve">其他类</w:t>
            </w:r>
            <w:r/>
          </w:p>
        </w:tc>
        <w:tc>
          <w:tcPr>
            <w:gridSpan w:val="3"/>
            <w:tcW w:w="1671" w:type="pct"/>
            <w:vAlign w:val="center"/>
            <w:textDirection w:val="lrTb"/>
            <w:noWrap w:val="false"/>
          </w:tcPr>
          <w:p>
            <w:pPr>
              <w:jc w:val="center"/>
              <w:spacing w:line="360" w:lineRule="exact"/>
              <w:widowControl/>
              <w:rPr>
                <w:rFonts w:hint="eastAsia" w:eastAsia="宋体"/>
                <w:color w:val="auto"/>
                <w:highlight w:val="none"/>
                <w:lang w:val="zh-CN"/>
              </w:rPr>
            </w:pPr>
            <w:r>
              <w:rPr>
                <w:rFonts w:hint="eastAsia" w:eastAsia="宋体"/>
                <w:color w:val="auto"/>
                <w:highlight w:val="none"/>
              </w:rPr>
              <w:t xml:space="preserve">折扣率xx%（即</w:t>
            </w:r>
            <w:r>
              <w:rPr>
                <w:rFonts w:hint="eastAsia"/>
                <w:color w:val="auto"/>
                <w:highlight w:val="none"/>
                <w:lang w:eastAsia="zh-CN"/>
              </w:rPr>
              <w:t xml:space="preserve">优惠率</w:t>
            </w:r>
            <w:r>
              <w:rPr>
                <w:rFonts w:hint="eastAsia" w:eastAsia="宋体"/>
                <w:color w:val="auto"/>
                <w:highlight w:val="none"/>
              </w:rPr>
              <w:t xml:space="preserve">为xx%）</w:t>
            </w:r>
            <w:r/>
          </w:p>
        </w:tc>
      </w:tr>
      <w:tr>
        <w:trPr>
          <w:jc w:val="center"/>
          <w:trHeight w:val="629"/>
        </w:trPr>
        <w:tc>
          <w:tcPr>
            <w:gridSpan w:val="4"/>
            <w:tcW w:w="3328" w:type="pct"/>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ascii="宋体" w:hAnsi="宋体" w:eastAsia="宋体" w:cs="宋体"/>
                <w:color w:val="auto"/>
                <w:szCs w:val="21"/>
                <w:highlight w:val="none"/>
                <w:lang w:val="zh-CN"/>
              </w:rPr>
              <w:t xml:space="preserve">平均</w:t>
            </w:r>
            <w:r>
              <w:rPr>
                <w:rFonts w:hint="eastAsia" w:ascii="宋体" w:hAnsi="宋体" w:cs="宋体"/>
                <w:color w:val="auto"/>
                <w:szCs w:val="21"/>
                <w:highlight w:val="none"/>
                <w:lang w:val="en-US" w:eastAsia="zh-CN"/>
              </w:rPr>
              <w:t xml:space="preserve">优惠率</w:t>
            </w:r>
            <w:r>
              <w:rPr>
                <w:rFonts w:hint="eastAsia" w:ascii="宋体" w:hAnsi="宋体" w:eastAsia="宋体" w:cs="宋体"/>
                <w:color w:val="auto"/>
                <w:szCs w:val="21"/>
                <w:highlight w:val="none"/>
                <w:lang w:val="zh-CN"/>
              </w:rPr>
              <w:t xml:space="preserve">（%）</w:t>
            </w:r>
            <w:r/>
          </w:p>
        </w:tc>
        <w:tc>
          <w:tcPr>
            <w:gridSpan w:val="3"/>
            <w:tcW w:w="1671" w:type="pct"/>
            <w:vAlign w:val="center"/>
            <w:textDirection w:val="lrTb"/>
            <w:noWrap w:val="false"/>
          </w:tcPr>
          <w:p>
            <w:pPr>
              <w:jc w:val="center"/>
              <w:spacing w:line="360" w:lineRule="exact"/>
              <w:widowControl/>
              <w:rPr>
                <w:rFonts w:hint="eastAsia" w:eastAsia="宋体"/>
                <w:color w:val="auto"/>
                <w:highlight w:val="none"/>
              </w:rPr>
            </w:pPr>
            <w:r>
              <w:rPr>
                <w:rFonts w:hint="eastAsia" w:eastAsia="宋体"/>
                <w:color w:val="auto"/>
                <w:highlight w:val="none"/>
              </w:rPr>
            </w:r>
            <w:r/>
          </w:p>
        </w:tc>
      </w:tr>
      <w:tr>
        <w:trPr>
          <w:jc w:val="center"/>
          <w:trHeight w:val="462"/>
        </w:trPr>
        <w:tc>
          <w:tcPr>
            <w:gridSpan w:val="2"/>
            <w:tcW w:w="2507" w:type="pct"/>
            <w:vAlign w:val="center"/>
            <w:textDirection w:val="lrTb"/>
            <w:noWrap w:val="false"/>
          </w:tcPr>
          <w:p>
            <w:pPr>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项目</w:t>
            </w:r>
            <w:r>
              <w:rPr>
                <w:rFonts w:hint="eastAsia" w:ascii="宋体" w:hAnsi="宋体" w:eastAsia="宋体" w:cs="宋体"/>
                <w:color w:val="auto"/>
                <w:sz w:val="24"/>
                <w:highlight w:val="none"/>
                <w:lang w:val="en-US" w:eastAsia="zh-CN"/>
              </w:rPr>
              <w:t xml:space="preserve">经理</w:t>
            </w:r>
            <w:r/>
          </w:p>
        </w:tc>
        <w:tc>
          <w:tcPr>
            <w:gridSpan w:val="5"/>
            <w:tcW w:w="2492" w:type="pct"/>
            <w:vAlign w:val="center"/>
            <w:textDirection w:val="lrTb"/>
            <w:noWrap w:val="false"/>
          </w:tcPr>
          <w:p>
            <w:pPr>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bl>
    <w:p>
      <w:pPr>
        <w:jc w:val="left"/>
        <w:spacing w:line="480" w:lineRule="auto"/>
        <w:shd w:val="clear" w:color="auto" w:fill="ffffff"/>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投标单位（盖章）：</w:t>
      </w:r>
      <w:r>
        <w:rPr>
          <w:rFonts w:hint="eastAsia" w:ascii="宋体" w:hAnsi="宋体" w:eastAsia="宋体" w:cs="宋体"/>
          <w:color w:val="auto"/>
          <w:szCs w:val="21"/>
          <w:highlight w:val="none"/>
          <w:u w:val="single"/>
        </w:rPr>
        <w:t xml:space="preserve">                             </w:t>
      </w:r>
      <w:r/>
    </w:p>
    <w:p>
      <w:pPr>
        <w:jc w:val="left"/>
        <w:spacing w:line="480" w:lineRule="auto"/>
        <w:shd w:val="clear" w:color="auto" w:fill="ffffff"/>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法定代表人或授权代表（签字或签章）：</w:t>
      </w:r>
      <w:r>
        <w:rPr>
          <w:rFonts w:hint="eastAsia" w:ascii="宋体" w:hAnsi="宋体" w:eastAsia="宋体" w:cs="宋体"/>
          <w:color w:val="auto"/>
          <w:szCs w:val="21"/>
          <w:highlight w:val="none"/>
          <w:u w:val="single"/>
        </w:rPr>
        <w:t xml:space="preserve">                   </w:t>
      </w:r>
      <w:r/>
    </w:p>
    <w:p>
      <w:pPr>
        <w:jc w:val="left"/>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jc w:val="cente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en-US" w:eastAsia="zh-CN"/>
        </w:rPr>
        <w:sectPr>
          <w:footnotePr/>
          <w:endnotePr/>
          <w:type w:val="nextPage"/>
          <w:pgSz w:w="11906" w:h="16838" w:orient="portrait"/>
          <w:pgMar w:top="1134" w:right="1020" w:bottom="1134" w:left="1020" w:header="720" w:footer="720" w:gutter="0"/>
          <w:cols w:num="1" w:sep="0" w:space="720" w:equalWidth="1"/>
          <w:docGrid w:linePitch="360"/>
        </w:sectPr>
        <w:outlineLvl w:val="9"/>
      </w:pPr>
      <w:r>
        <w:rPr>
          <w:rFonts w:hint="eastAsia" w:ascii="宋体" w:hAnsi="宋体" w:eastAsia="宋体" w:cs="宋体"/>
          <w:b/>
          <w:color w:val="auto"/>
          <w:sz w:val="24"/>
          <w:szCs w:val="24"/>
          <w:highlight w:val="none"/>
          <w:lang w:val="en-US" w:eastAsia="zh-CN"/>
        </w:rPr>
      </w:r>
      <w:r/>
    </w:p>
    <w:p>
      <w:pPr>
        <w:rPr>
          <w:rFonts w:hint="eastAsia" w:ascii="宋体" w:hAnsi="宋体" w:eastAsia="宋体" w:cs="宋体"/>
          <w:b/>
          <w:color w:val="auto"/>
          <w:sz w:val="24"/>
          <w:szCs w:val="24"/>
          <w:highlight w:val="none"/>
          <w:lang w:val="zh-CN"/>
        </w:rPr>
        <w:outlineLvl w:val="9"/>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、商务条款</w:t>
      </w:r>
      <w:r>
        <w:rPr>
          <w:rFonts w:hint="eastAsia" w:ascii="宋体" w:hAnsi="宋体" w:eastAsia="宋体" w:cs="宋体"/>
          <w:b/>
          <w:color w:val="auto"/>
          <w:sz w:val="24"/>
          <w:szCs w:val="24"/>
          <w:highlight w:val="none"/>
          <w:lang w:val="en-US" w:eastAsia="zh-CN"/>
        </w:rPr>
        <w:t xml:space="preserve">偏离</w:t>
      </w:r>
      <w:r>
        <w:rPr>
          <w:rFonts w:hint="eastAsia" w:ascii="宋体" w:hAnsi="宋体" w:eastAsia="宋体" w:cs="宋体"/>
          <w:b/>
          <w:color w:val="auto"/>
          <w:sz w:val="24"/>
          <w:szCs w:val="24"/>
          <w:highlight w:val="none"/>
          <w:lang w:val="zh-CN"/>
        </w:rPr>
        <w:t xml:space="preserve">表</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b/>
          <w:color w:val="auto"/>
          <w:sz w:val="32"/>
          <w:szCs w:val="32"/>
          <w:highlight w:val="none"/>
          <w:lang w:val="zh-CN"/>
        </w:rPr>
        <w:t xml:space="preserve">商务条款</w:t>
      </w:r>
      <w:r>
        <w:rPr>
          <w:rFonts w:hint="eastAsia" w:ascii="宋体" w:hAnsi="宋体" w:eastAsia="宋体" w:cs="宋体"/>
          <w:b/>
          <w:color w:val="auto"/>
          <w:sz w:val="32"/>
          <w:szCs w:val="32"/>
          <w:highlight w:val="none"/>
          <w:lang w:val="en-US" w:eastAsia="zh-CN"/>
        </w:rPr>
        <w:t xml:space="preserve">偏离</w:t>
      </w:r>
      <w:r>
        <w:rPr>
          <w:rFonts w:hint="eastAsia" w:ascii="宋体" w:hAnsi="宋体" w:eastAsia="宋体" w:cs="宋体"/>
          <w:b/>
          <w:color w:val="auto"/>
          <w:sz w:val="32"/>
          <w:szCs w:val="32"/>
          <w:highlight w:val="none"/>
          <w:lang w:val="zh-CN"/>
        </w:rPr>
        <w:t xml:space="preserve">表</w:t>
      </w:r>
      <w:r/>
    </w:p>
    <w:p>
      <w:pPr>
        <w:ind w:firstLine="96"/>
        <w:jc w:val="left"/>
        <w:spacing w:line="360" w:lineRule="auto"/>
        <w:widowControl/>
        <w:tabs>
          <w:tab w:val="left" w:pos="5366" w:leader="none"/>
        </w:tabs>
        <w:rPr>
          <w:rFonts w:ascii="宋体" w:hAnsi="宋体"/>
          <w:color w:val="auto"/>
          <w:szCs w:val="21"/>
          <w:highlight w:val="none"/>
        </w:rPr>
      </w:pPr>
      <w:r>
        <w:rPr>
          <w:rFonts w:hint="eastAsia" w:ascii="宋体" w:hAnsi="宋体"/>
          <w:color w:val="auto"/>
          <w:szCs w:val="21"/>
          <w:highlight w:val="none"/>
        </w:rPr>
        <w:t xml:space="preserve">项目名称：</w:t>
      </w:r>
      <w:r>
        <w:rPr>
          <w:rFonts w:ascii="宋体" w:hAnsi="宋体"/>
          <w:color w:val="auto"/>
          <w:szCs w:val="21"/>
          <w:highlight w:val="none"/>
        </w:rPr>
        <w:tab/>
      </w:r>
      <w:r>
        <w:rPr>
          <w:rFonts w:hint="eastAsia" w:ascii="宋体" w:hAnsi="宋体"/>
          <w:color w:val="auto"/>
          <w:szCs w:val="21"/>
          <w:highlight w:val="none"/>
        </w:rPr>
        <w:t xml:space="preserve">项目编号：</w:t>
      </w:r>
      <w:r>
        <w:rPr>
          <w:rFonts w:ascii="宋体" w:hAnsi="宋体" w:cs="Calibri"/>
          <w:color w:val="auto"/>
          <w:szCs w:val="21"/>
          <w:highlight w:val="none"/>
        </w:rPr>
        <w:t xml:space="preserve">         </w:t>
      </w:r>
      <w:r/>
    </w:p>
    <w:tbl>
      <w:tblPr>
        <w:tblStyle w:val="7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bl>
    <w:p>
      <w:pPr>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说明：如果行数不够，请自行增加。</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供应商名称:（盖章）</w:t>
      </w:r>
      <w:r/>
    </w:p>
    <w:p>
      <w:pPr>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法定代表人或委托代理人（签字或盖章）</w:t>
      </w:r>
      <w:r>
        <w:rPr>
          <w:rFonts w:hint="eastAsia" w:ascii="宋体" w:hAnsi="宋体"/>
          <w:bCs/>
          <w:color w:val="auto"/>
          <w:szCs w:val="21"/>
          <w:highlight w:val="none"/>
        </w:rPr>
        <w:t xml:space="preserve">：</w:t>
      </w:r>
      <w:r/>
    </w:p>
    <w:p>
      <w:pPr>
        <w:jc w:val="left"/>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jc w:val="cente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lang w:val="zh-CN" w:eastAsia="zh-CN"/>
        </w:rPr>
        <w:outlineLvl w:val="9"/>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zh-CN" w:eastAsia="zh-CN"/>
        </w:rPr>
        <w:t xml:space="preserve">、技术规格偏离表</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b/>
          <w:color w:val="auto"/>
          <w:sz w:val="32"/>
          <w:szCs w:val="32"/>
          <w:highlight w:val="none"/>
          <w:lang w:val="zh-CN"/>
        </w:rPr>
        <w:t xml:space="preserve">技术规格偏离表</w:t>
      </w:r>
      <w:bookmarkEnd w:id="352"/>
      <w:r/>
      <w:bookmarkEnd w:id="353"/>
      <w:r/>
      <w:bookmarkEnd w:id="354"/>
      <w:r/>
      <w:bookmarkEnd w:id="355"/>
      <w:r/>
      <w:bookmarkEnd w:id="356"/>
      <w:r/>
      <w:r/>
    </w:p>
    <w:p>
      <w:pPr>
        <w:ind w:firstLine="84"/>
        <w:jc w:val="left"/>
        <w:spacing w:line="360" w:lineRule="auto"/>
        <w:widowControl/>
        <w:tabs>
          <w:tab w:val="left" w:pos="5397" w:leader="none"/>
        </w:tabs>
        <w:rPr>
          <w:rFonts w:ascii="宋体" w:hAnsi="宋体"/>
          <w:color w:val="auto"/>
          <w:szCs w:val="21"/>
          <w:highlight w:val="none"/>
        </w:rPr>
      </w:pPr>
      <w:r>
        <w:rPr>
          <w:rFonts w:hint="eastAsia" w:ascii="宋体" w:hAnsi="宋体"/>
          <w:color w:val="auto"/>
          <w:szCs w:val="21"/>
          <w:highlight w:val="none"/>
        </w:rPr>
        <w:t xml:space="preserve">项目名称：</w:t>
      </w:r>
      <w:r>
        <w:rPr>
          <w:rFonts w:ascii="宋体" w:hAnsi="宋体"/>
          <w:color w:val="auto"/>
          <w:szCs w:val="21"/>
          <w:highlight w:val="none"/>
        </w:rPr>
        <w:tab/>
      </w:r>
      <w:r>
        <w:rPr>
          <w:rFonts w:hint="eastAsia" w:ascii="宋体" w:hAnsi="宋体"/>
          <w:color w:val="auto"/>
          <w:szCs w:val="21"/>
          <w:highlight w:val="none"/>
        </w:rPr>
        <w:t xml:space="preserve">项目编号：</w:t>
      </w:r>
      <w:r>
        <w:rPr>
          <w:rFonts w:ascii="宋体" w:hAnsi="宋体" w:cs="Calibri"/>
          <w:color w:val="auto"/>
          <w:szCs w:val="21"/>
          <w:highlight w:val="none"/>
        </w:rPr>
        <w:t xml:space="preserve">  </w:t>
      </w:r>
      <w:r/>
    </w:p>
    <w:tbl>
      <w:tblPr>
        <w:tblStyle w:val="745"/>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招标要求规格</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bl>
    <w:p>
      <w:pPr>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说明：</w:t>
      </w:r>
      <w:r>
        <w:rPr>
          <w:rFonts w:ascii="宋体" w:hAnsi="宋体"/>
          <w:color w:val="auto"/>
          <w:szCs w:val="21"/>
          <w:highlight w:val="none"/>
        </w:rPr>
        <w:t xml:space="preserve">如果行数不够，请自行增加。</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供应商名称:（盖章）</w:t>
      </w:r>
      <w:r/>
    </w:p>
    <w:p>
      <w:pPr>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法定代表人或委托代理人（签字或盖章）</w:t>
      </w:r>
      <w:r>
        <w:rPr>
          <w:rFonts w:hint="eastAsia" w:ascii="宋体" w:hAnsi="宋体"/>
          <w:bCs/>
          <w:color w:val="auto"/>
          <w:szCs w:val="21"/>
          <w:highlight w:val="none"/>
        </w:rPr>
        <w:t xml:space="preserve">：</w:t>
      </w:r>
      <w:r/>
    </w:p>
    <w:p>
      <w:pPr>
        <w:jc w:val="left"/>
        <w:spacing w:line="360" w:lineRule="auto"/>
        <w:widowControl/>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b/>
          <w:bCs/>
          <w:color w:val="auto"/>
          <w:sz w:val="24"/>
          <w:highlight w:val="none"/>
          <w:lang w:val="en-US" w:eastAsia="zh-CN"/>
        </w:rPr>
        <w:outlineLvl w:val="2"/>
      </w:pPr>
      <w:r/>
      <w:bookmarkStart w:id="357" w:name="_Toc116284552"/>
      <w:r/>
      <w:bookmarkStart w:id="358" w:name="_Toc4930"/>
      <w:r/>
      <w:bookmarkStart w:id="359" w:name="_Toc20764"/>
      <w:r/>
      <w:bookmarkStart w:id="360" w:name="_Toc153441908"/>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bookmarkEnd w:id="325"/>
      <w:r/>
      <w:bookmarkEnd w:id="326"/>
      <w:r/>
      <w:bookmarkEnd w:id="327"/>
      <w:r/>
      <w:bookmarkEnd w:id="328"/>
      <w:r/>
      <w:bookmarkEnd w:id="329"/>
      <w:r/>
      <w:bookmarkEnd w:id="330"/>
      <w:r/>
      <w:bookmarkEnd w:id="357"/>
      <w:r/>
      <w:bookmarkEnd w:id="358"/>
      <w:r/>
      <w:bookmarkEnd w:id="359"/>
      <w:r/>
      <w:bookmarkStart w:id="361" w:name="_Toc14140"/>
      <w:r/>
      <w:bookmarkStart w:id="362" w:name="_Toc17411"/>
      <w:r/>
      <w:bookmarkStart w:id="363" w:name="_Toc18017"/>
      <w:r/>
      <w:bookmarkStart w:id="364" w:name="_Toc22511"/>
      <w:r/>
      <w:bookmarkStart w:id="365" w:name="_Toc9020"/>
      <w:r/>
      <w:bookmarkStart w:id="366" w:name="_Toc17732"/>
      <w:r/>
      <w:bookmarkStart w:id="367" w:name="_Toc116284553"/>
      <w:r/>
      <w:bookmarkStart w:id="368" w:name="_Toc25092"/>
      <w:r/>
      <w:bookmarkStart w:id="369" w:name="_Toc2557"/>
      <w:r>
        <w:rPr>
          <w:rFonts w:hint="eastAsia" w:ascii="宋体" w:hAnsi="宋体" w:eastAsia="宋体" w:cs="宋体"/>
          <w:b/>
          <w:color w:val="auto"/>
          <w:sz w:val="24"/>
          <w:highlight w:val="none"/>
        </w:rPr>
        <w:t xml:space="preserve">业绩</w:t>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cs="宋体"/>
          <w:b/>
          <w:color w:val="auto"/>
          <w:sz w:val="24"/>
          <w:highlight w:val="none"/>
          <w:lang w:val="en-US" w:eastAsia="zh-CN"/>
        </w:rPr>
        <w:t xml:space="preserve">一览表</w:t>
      </w:r>
      <w:r/>
    </w:p>
    <w:p>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业绩一览表</w:t>
      </w:r>
      <w:r/>
    </w:p>
    <w:tbl>
      <w:tblPr>
        <w:tblStyle w:val="745"/>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315"/>
        <w:gridCol w:w="1400"/>
        <w:gridCol w:w="1112"/>
        <w:gridCol w:w="1559"/>
        <w:gridCol w:w="1229"/>
        <w:gridCol w:w="898"/>
      </w:tblGrid>
      <w:tr>
        <w:trPr>
          <w:cantSplit/>
        </w:trPr>
        <w:tc>
          <w:tcPr>
            <w:tcW w:w="1985" w:type="dxa"/>
            <w:vAlign w:val="center"/>
            <w:textDirection w:val="lrTb"/>
            <w:noWrap w:val="false"/>
          </w:tcPr>
          <w:p>
            <w:pPr>
              <w:pStyle w:val="762"/>
              <w:jc w:val="center"/>
              <w:spacing w:line="360" w:lineRule="auto"/>
              <w:rPr>
                <w:rFonts w:hAnsi="宋体" w:cs="Courier New"/>
                <w:color w:val="auto"/>
                <w:szCs w:val="21"/>
                <w:highlight w:val="none"/>
              </w:rPr>
            </w:pPr>
            <w:r>
              <w:rPr>
                <w:rFonts w:hAnsi="宋体" w:cs="Courier New"/>
                <w:color w:val="auto"/>
                <w:szCs w:val="21"/>
                <w:highlight w:val="none"/>
              </w:rPr>
              <w:t xml:space="preserve">项目名称</w:t>
            </w:r>
            <w:r/>
          </w:p>
        </w:tc>
        <w:tc>
          <w:tcPr>
            <w:tcW w:w="1315" w:type="dxa"/>
            <w:vAlign w:val="center"/>
            <w:textDirection w:val="lrTb"/>
            <w:noWrap w:val="false"/>
          </w:tcPr>
          <w:p>
            <w:pPr>
              <w:pStyle w:val="762"/>
              <w:jc w:val="center"/>
              <w:spacing w:line="360" w:lineRule="auto"/>
              <w:rPr>
                <w:rFonts w:hAnsi="宋体" w:cs="Courier New"/>
                <w:color w:val="auto"/>
                <w:szCs w:val="21"/>
                <w:highlight w:val="none"/>
              </w:rPr>
            </w:pPr>
            <w:r>
              <w:rPr>
                <w:rFonts w:hAnsi="宋体" w:cs="Courier New"/>
                <w:color w:val="auto"/>
                <w:szCs w:val="21"/>
                <w:highlight w:val="none"/>
              </w:rPr>
              <w:t xml:space="preserve">采购内容</w:t>
            </w:r>
            <w:r/>
          </w:p>
        </w:tc>
        <w:tc>
          <w:tcPr>
            <w:tcW w:w="1400" w:type="dxa"/>
            <w:vAlign w:val="center"/>
            <w:textDirection w:val="lrTb"/>
            <w:noWrap w:val="false"/>
          </w:tcPr>
          <w:p>
            <w:pPr>
              <w:pStyle w:val="762"/>
              <w:jc w:val="center"/>
              <w:spacing w:line="360" w:lineRule="auto"/>
              <w:rPr>
                <w:rFonts w:hAnsi="宋体" w:cs="Courier New"/>
                <w:color w:val="auto"/>
                <w:szCs w:val="21"/>
                <w:highlight w:val="none"/>
              </w:rPr>
            </w:pPr>
            <w:r>
              <w:rPr>
                <w:rFonts w:hAnsi="宋体" w:cs="Courier New"/>
                <w:color w:val="auto"/>
                <w:szCs w:val="21"/>
                <w:highlight w:val="none"/>
              </w:rPr>
              <w:t xml:space="preserve">合同价</w:t>
            </w:r>
            <w:r/>
          </w:p>
        </w:tc>
        <w:tc>
          <w:tcPr>
            <w:tcW w:w="1112" w:type="dxa"/>
            <w:vAlign w:val="center"/>
            <w:textDirection w:val="lrTb"/>
            <w:noWrap w:val="false"/>
          </w:tcPr>
          <w:p>
            <w:pPr>
              <w:pStyle w:val="762"/>
              <w:jc w:val="center"/>
              <w:spacing w:line="360" w:lineRule="auto"/>
              <w:rPr>
                <w:rFonts w:hAnsi="宋体" w:cs="Courier New"/>
                <w:color w:val="auto"/>
                <w:szCs w:val="21"/>
                <w:highlight w:val="none"/>
              </w:rPr>
            </w:pPr>
            <w:r>
              <w:rPr>
                <w:rFonts w:hint="eastAsia" w:hAnsi="宋体" w:cs="Courier New"/>
                <w:color w:val="auto"/>
                <w:szCs w:val="21"/>
                <w:highlight w:val="none"/>
              </w:rPr>
              <w:t xml:space="preserve">签订日期</w:t>
            </w:r>
            <w:r/>
          </w:p>
        </w:tc>
        <w:tc>
          <w:tcPr>
            <w:tcW w:w="1559" w:type="dxa"/>
            <w:vAlign w:val="center"/>
            <w:textDirection w:val="lrTb"/>
            <w:noWrap w:val="false"/>
          </w:tcPr>
          <w:p>
            <w:pPr>
              <w:pStyle w:val="762"/>
              <w:jc w:val="center"/>
              <w:spacing w:line="360" w:lineRule="auto"/>
              <w:rPr>
                <w:rFonts w:hAnsi="宋体" w:cs="Courier New"/>
                <w:color w:val="auto"/>
                <w:szCs w:val="21"/>
                <w:highlight w:val="none"/>
              </w:rPr>
            </w:pPr>
            <w:r>
              <w:rPr>
                <w:rFonts w:hAnsi="宋体" w:cs="Courier New"/>
                <w:color w:val="auto"/>
                <w:szCs w:val="21"/>
                <w:highlight w:val="none"/>
              </w:rPr>
              <w:t xml:space="preserve">采购人方联系人、联系方式</w:t>
            </w:r>
            <w:r/>
          </w:p>
        </w:tc>
        <w:tc>
          <w:tcPr>
            <w:tcW w:w="1229" w:type="dxa"/>
            <w:vAlign w:val="center"/>
            <w:textDirection w:val="lrTb"/>
            <w:noWrap w:val="false"/>
          </w:tcPr>
          <w:p>
            <w:pPr>
              <w:pStyle w:val="762"/>
              <w:jc w:val="center"/>
              <w:spacing w:line="360" w:lineRule="auto"/>
              <w:rPr>
                <w:rFonts w:hAnsi="宋体" w:cs="Courier New"/>
                <w:color w:val="auto"/>
                <w:szCs w:val="21"/>
                <w:highlight w:val="none"/>
              </w:rPr>
            </w:pPr>
            <w:r>
              <w:rPr>
                <w:rFonts w:hAnsi="宋体" w:cs="Courier New"/>
                <w:color w:val="auto"/>
                <w:szCs w:val="21"/>
                <w:highlight w:val="none"/>
              </w:rPr>
              <w:t xml:space="preserve">其它情况</w:t>
            </w:r>
            <w:r/>
          </w:p>
        </w:tc>
        <w:tc>
          <w:tcPr>
            <w:tcW w:w="898" w:type="dxa"/>
            <w:vAlign w:val="center"/>
            <w:textDirection w:val="lrTb"/>
            <w:noWrap w:val="false"/>
          </w:tcPr>
          <w:p>
            <w:pPr>
              <w:pStyle w:val="762"/>
              <w:jc w:val="center"/>
              <w:spacing w:line="360" w:lineRule="auto"/>
              <w:rPr>
                <w:rFonts w:hAnsi="宋体" w:cs="Courier New"/>
                <w:color w:val="auto"/>
                <w:szCs w:val="21"/>
                <w:highlight w:val="none"/>
              </w:rPr>
            </w:pPr>
            <w:r>
              <w:rPr>
                <w:rFonts w:hAnsi="宋体" w:cs="Courier New"/>
                <w:color w:val="auto"/>
                <w:szCs w:val="21"/>
                <w:highlight w:val="none"/>
              </w:rPr>
              <w:t xml:space="preserve">备注</w:t>
            </w:r>
            <w:r/>
          </w:p>
        </w:tc>
      </w:tr>
      <w:tr>
        <w:trPr>
          <w:cantSplit/>
          <w:trHeight w:val="571"/>
        </w:trPr>
        <w:tc>
          <w:tcPr>
            <w:tcW w:w="198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r>
      <w:tr>
        <w:trPr>
          <w:cantSplit/>
          <w:trHeight w:val="693"/>
        </w:trPr>
        <w:tc>
          <w:tcPr>
            <w:tcW w:w="198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r>
      <w:tr>
        <w:trPr>
          <w:cantSplit/>
          <w:trHeight w:val="703"/>
        </w:trPr>
        <w:tc>
          <w:tcPr>
            <w:tcW w:w="198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r>
      <w:tr>
        <w:trPr>
          <w:cantSplit/>
          <w:trHeight w:val="698"/>
        </w:trPr>
        <w:tc>
          <w:tcPr>
            <w:tcW w:w="198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315"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400"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112"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55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1229"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c>
          <w:tcPr>
            <w:tcW w:w="898" w:type="dxa"/>
            <w:vAlign w:val="center"/>
            <w:textDirection w:val="lrTb"/>
            <w:noWrap w:val="false"/>
          </w:tcPr>
          <w:p>
            <w:pPr>
              <w:pStyle w:val="762"/>
              <w:spacing w:line="360" w:lineRule="auto"/>
              <w:rPr>
                <w:rFonts w:hAnsi="宋体" w:cs="Courier New"/>
                <w:color w:val="auto"/>
                <w:szCs w:val="21"/>
                <w:highlight w:val="none"/>
              </w:rPr>
            </w:pPr>
            <w:r>
              <w:rPr>
                <w:rFonts w:hAnsi="宋体" w:cs="Courier New"/>
                <w:color w:val="auto"/>
                <w:szCs w:val="21"/>
                <w:highlight w:val="none"/>
              </w:rPr>
            </w:r>
            <w:r/>
          </w:p>
        </w:tc>
      </w:tr>
    </w:tbl>
    <w:p>
      <w:pPr>
        <w:ind w:firstLine="480"/>
        <w:jc w:val="left"/>
        <w:rPr>
          <w:rFonts w:hint="eastAsia" w:ascii="宋体" w:hAnsi="宋体" w:eastAsia="宋体" w:cs="宋体"/>
          <w:color w:val="auto"/>
          <w:sz w:val="24"/>
          <w:highlight w:val="none"/>
        </w:rPr>
      </w:pPr>
      <w:r>
        <w:rPr>
          <w:rFonts w:hint="eastAsia" w:ascii="宋体" w:hAnsi="宋体"/>
          <w:color w:val="auto"/>
          <w:szCs w:val="21"/>
          <w:highlight w:val="none"/>
        </w:rPr>
        <w:t xml:space="preserve">注：本表后应附合同复印件（加盖公章）</w:t>
      </w:r>
      <w:r/>
    </w:p>
    <w:p>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bookmarkEnd w:id="324"/>
      <w:r/>
      <w:r/>
    </w:p>
    <w:p>
      <w:pPr>
        <w:spacing w:line="360" w:lineRule="auto"/>
        <w:widowControl/>
        <w:rPr>
          <w:rFonts w:hint="eastAsia" w:ascii="宋体" w:hAnsi="宋体" w:eastAsia="宋体" w:cs="宋体"/>
          <w:b/>
          <w:bCs/>
          <w:color w:val="auto"/>
          <w:sz w:val="24"/>
          <w:highlight w:val="none"/>
        </w:rPr>
        <w:outlineLvl w:val="2"/>
      </w:pPr>
      <w:r/>
      <w:bookmarkStart w:id="370" w:name="_Toc11193"/>
      <w:r/>
      <w:bookmarkStart w:id="371" w:name="_Toc116284558"/>
      <w:r/>
      <w:bookmarkStart w:id="372" w:name="_Toc8063"/>
      <w:r/>
      <w:bookmarkStart w:id="373" w:name="_Toc23845"/>
      <w:r/>
      <w:bookmarkStart w:id="374" w:name="_Toc153441913"/>
      <w:r/>
      <w:bookmarkStart w:id="375" w:name="_Toc17797"/>
      <w:r/>
      <w:bookmarkStart w:id="376" w:name="_Toc28714"/>
      <w:r/>
      <w:bookmarkStart w:id="377" w:name="_Toc14362"/>
      <w:r/>
      <w:bookmarkStart w:id="378" w:name="_Toc32200"/>
      <w:r/>
      <w:bookmarkStart w:id="379" w:name="_Toc30663"/>
      <w:r/>
      <w:bookmarkStart w:id="380" w:name="_Toc27355"/>
      <w:r/>
      <w:bookmarkStart w:id="381" w:name="_Toc31719"/>
      <w:r/>
      <w:bookmarkStart w:id="382" w:name="_Toc722"/>
      <w:r/>
      <w:bookmarkStart w:id="383" w:name="_Toc23150"/>
      <w:r/>
      <w:bookmarkStart w:id="384" w:name="_Toc4787"/>
      <w:r/>
      <w:bookmarkStart w:id="385" w:name="_Toc16688"/>
      <w:r/>
      <w:bookmarkStart w:id="386" w:name="_Toc22502"/>
      <w:r/>
      <w:bookmarkStart w:id="387" w:name="_Toc28671"/>
      <w:r/>
      <w:bookmarkStart w:id="388" w:name="_Toc19907"/>
      <w:r/>
      <w:bookmarkStart w:id="389" w:name="_Toc12696"/>
      <w:r/>
      <w:bookmarkStart w:id="390" w:name="_Toc4547"/>
      <w:r/>
      <w:bookmarkStart w:id="391" w:name="_Toc29743"/>
      <w:r>
        <w:rPr>
          <w:rFonts w:hint="eastAsia" w:ascii="宋体" w:hAnsi="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项目</w:t>
      </w:r>
      <w:r>
        <w:rPr>
          <w:rFonts w:hint="eastAsia" w:ascii="宋体" w:hAnsi="宋体" w:cs="宋体"/>
          <w:b/>
          <w:bCs/>
          <w:color w:val="auto"/>
          <w:sz w:val="24"/>
          <w:highlight w:val="none"/>
          <w:lang w:val="en-US" w:eastAsia="zh-CN"/>
        </w:rPr>
        <w:t xml:space="preserve">技术</w:t>
      </w:r>
      <w:r>
        <w:rPr>
          <w:rFonts w:hint="eastAsia" w:ascii="宋体" w:hAnsi="宋体" w:eastAsia="宋体" w:cs="宋体"/>
          <w:b/>
          <w:bCs/>
          <w:color w:val="auto"/>
          <w:sz w:val="24"/>
          <w:highlight w:val="none"/>
          <w:lang w:val="zh-CN"/>
        </w:rPr>
        <w:t xml:space="preserve">（格式自拟）</w:t>
      </w:r>
      <w:bookmarkEnd w:id="370"/>
      <w:r/>
      <w:bookmarkEnd w:id="371"/>
      <w:r/>
      <w:bookmarkEnd w:id="372"/>
      <w:r/>
      <w:bookmarkEnd w:id="373"/>
      <w:r/>
      <w:bookmarkEnd w:id="374"/>
      <w:r/>
      <w:bookmarkEnd w:id="375"/>
      <w:r/>
      <w:bookmarkEnd w:id="376"/>
      <w:r/>
      <w:bookmarkEnd w:id="377"/>
      <w:r/>
      <w:bookmarkEnd w:id="378"/>
      <w:r/>
      <w:bookmarkEnd w:id="379"/>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由供应商根据招标文件内容要求及服务标准内容自行编写，要求全面、详尽、完整、易于理解。</w:t>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spacing w:line="360" w:lineRule="auto"/>
        <w:widowControl/>
        <w:rPr>
          <w:rFonts w:hint="eastAsia" w:ascii="宋体" w:hAnsi="宋体" w:eastAsia="宋体" w:cs="宋体"/>
          <w:b/>
          <w:bCs/>
          <w:color w:val="auto"/>
          <w:sz w:val="24"/>
          <w:highlight w:val="none"/>
          <w:lang w:val="en-US" w:eastAsia="zh-CN"/>
        </w:rPr>
        <w:outlineLvl w:val="9"/>
      </w:pPr>
      <w:r/>
      <w:bookmarkStart w:id="392" w:name="_Toc19210"/>
      <w:r/>
      <w:bookmarkStart w:id="393" w:name="_Toc15842"/>
      <w:r/>
      <w:bookmarkStart w:id="394" w:name="_Toc15976"/>
      <w:r/>
      <w:bookmarkStart w:id="395" w:name="_Toc30323"/>
      <w:r/>
      <w:bookmarkStart w:id="396" w:name="_Toc16555"/>
      <w:r/>
      <w:bookmarkStart w:id="397" w:name="_Toc24854"/>
      <w:r/>
      <w:bookmarkStart w:id="398" w:name="_Toc28486"/>
      <w:r/>
      <w:bookmarkStart w:id="399" w:name="_Toc17989"/>
      <w:r/>
      <w:bookmarkStart w:id="400" w:name="_Toc28555"/>
      <w:r/>
      <w:bookmarkStart w:id="401" w:name="_Toc116284559"/>
      <w:r/>
      <w:bookmarkStart w:id="402" w:name="_Toc27959"/>
      <w:r/>
      <w:bookmarkStart w:id="403" w:name="_Toc5145"/>
      <w:r/>
      <w:bookmarkStart w:id="404" w:name="_Toc14295"/>
      <w:r/>
      <w:bookmarkStart w:id="405" w:name="_Toc32460"/>
      <w:r/>
      <w:bookmarkStart w:id="406" w:name="_Toc23741"/>
      <w:r/>
      <w:bookmarkStart w:id="407" w:name="_Toc6293"/>
      <w:r/>
      <w:bookmarkStart w:id="408" w:name="_Toc70"/>
      <w:r/>
      <w:bookmarkStart w:id="409" w:name="_Toc6399"/>
      <w:r/>
      <w:bookmarkStart w:id="410" w:name="_Toc30822"/>
      <w:r/>
      <w:bookmarkStart w:id="411" w:name="_Toc153441914"/>
      <w:r/>
      <w:bookmarkStart w:id="412" w:name="_Toc500"/>
      <w:r/>
      <w:bookmarkStart w:id="413" w:name="_Toc26740"/>
      <w:r/>
      <w:r/>
    </w:p>
    <w:p>
      <w:pPr>
        <w:spacing w:line="360" w:lineRule="auto"/>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spacing w:line="360" w:lineRule="auto"/>
        <w:widowControl/>
        <w:rPr>
          <w:rFonts w:hint="eastAsia" w:ascii="宋体" w:hAnsi="宋体" w:eastAsia="宋体" w:cs="宋体"/>
          <w:b/>
          <w:bCs/>
          <w:color w:val="auto"/>
          <w:sz w:val="24"/>
          <w:highlight w:val="none"/>
        </w:rPr>
        <w:outlineLvl w:val="2"/>
      </w:pPr>
      <w:r>
        <w:rPr>
          <w:rFonts w:hint="eastAsia" w:ascii="宋体" w:hAnsi="宋体" w:cs="宋体"/>
          <w:b/>
          <w:bCs/>
          <w:color w:val="auto"/>
          <w:sz w:val="24"/>
          <w:highlight w:val="none"/>
          <w:lang w:val="en-US" w:eastAsia="zh-CN"/>
        </w:rPr>
        <w:t xml:space="preserve">十</w:t>
      </w:r>
      <w:r>
        <w:rPr>
          <w:rFonts w:hint="eastAsia" w:ascii="宋体" w:hAnsi="宋体" w:eastAsia="宋体" w:cs="宋体"/>
          <w:b/>
          <w:bCs/>
          <w:color w:val="auto"/>
          <w:sz w:val="24"/>
          <w:highlight w:val="none"/>
        </w:rPr>
        <w:t xml:space="preserve">、项目组人员一览表</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eastAsia="zh-CN"/>
        </w:rPr>
        <w:outlineLvl w:val="9"/>
      </w:pPr>
      <w:r>
        <w:rPr>
          <w:rFonts w:hint="eastAsia" w:ascii="宋体" w:hAnsi="宋体" w:eastAsia="宋体" w:cs="宋体"/>
          <w:b/>
          <w:color w:val="auto"/>
          <w:sz w:val="32"/>
          <w:szCs w:val="32"/>
          <w:highlight w:val="none"/>
          <w:lang w:val="zh-CN" w:eastAsia="zh-CN"/>
        </w:rPr>
        <w:t xml:space="preserve">服务人员一览表</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项目名称：</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  </w:t>
      </w:r>
      <w:r/>
    </w:p>
    <w:tbl>
      <w:tblPr>
        <w:tblStyle w:val="74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871"/>
        <w:gridCol w:w="876"/>
        <w:gridCol w:w="1252"/>
        <w:gridCol w:w="759"/>
        <w:gridCol w:w="1191"/>
        <w:gridCol w:w="1446"/>
        <w:gridCol w:w="1159"/>
        <w:gridCol w:w="1163"/>
        <w:gridCol w:w="1163"/>
      </w:tblGrid>
      <w:tr>
        <w:trPr>
          <w:jc w:val="center"/>
          <w:trHeight w:val="966"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身份证号</w:t>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职务</w:t>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职称/ 资质</w:t>
            </w:r>
            <w:r>
              <w:rPr>
                <w:rFonts w:hint="eastAsia" w:ascii="宋体" w:hAnsi="宋体" w:eastAsia="宋体" w:cs="宋体"/>
                <w:color w:val="auto"/>
                <w:sz w:val="24"/>
                <w:szCs w:val="24"/>
                <w:highlight w:val="none"/>
                <w:lang w:eastAsia="zh-CN"/>
              </w:rPr>
              <w:t xml:space="preserve">（如有）</w:t>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工作年限</w:t>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工作经验</w:t>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是否有健康证</w:t>
            </w:r>
            <w:r/>
          </w:p>
        </w:tc>
      </w:tr>
      <w:tr>
        <w:trPr>
          <w:jc w:val="center"/>
          <w:trHeight w:val="461"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4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4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3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38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73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58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58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（盖章）：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授权代表签字：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    期：    年    月   日</w:t>
      </w:r>
      <w:r/>
    </w:p>
    <w:p>
      <w:pPr>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注：1.按照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lang w:val="en-US" w:eastAsia="zh-CN"/>
        </w:rPr>
        <w:t xml:space="preserve">的技术要求</w:t>
      </w:r>
      <w:r>
        <w:rPr>
          <w:rFonts w:hint="eastAsia" w:ascii="宋体" w:hAnsi="宋体" w:eastAsia="宋体" w:cs="宋体"/>
          <w:color w:val="auto"/>
          <w:sz w:val="24"/>
          <w:szCs w:val="24"/>
          <w:highlight w:val="none"/>
          <w:lang w:val="zh-CN"/>
        </w:rPr>
        <w:t xml:space="preserve">中的要求详细填列。</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2.行数不够，可自行添加。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3、所有职称、证明均需要提供有效的复印件（扫描件），原件备查。</w:t>
      </w:r>
      <w:r/>
    </w:p>
    <w:p>
      <w:pPr>
        <w:ind w:firstLine="422"/>
        <w:rPr>
          <w:rFonts w:hint="eastAsia" w:ascii="宋体" w:hAnsi="宋体" w:eastAsia="宋体" w:cs="宋体"/>
          <w:b/>
          <w:color w:val="auto"/>
          <w:szCs w:val="21"/>
          <w:highlight w:val="none"/>
        </w:rPr>
      </w:pPr>
      <w:r>
        <w:rPr>
          <w:rFonts w:hint="eastAsia" w:ascii="宋体" w:hAnsi="宋体" w:eastAsia="宋体" w:cs="宋体"/>
          <w:color w:val="auto"/>
          <w:sz w:val="24"/>
          <w:szCs w:val="24"/>
          <w:highlight w:val="none"/>
          <w:lang w:val="en-US" w:eastAsia="zh-CN"/>
        </w:rPr>
        <w:t xml:space="preserve">4、附人员健康证</w:t>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 w:val="24"/>
          <w:szCs w:val="24"/>
          <w:highlight w:val="none"/>
          <w:lang w:val="en-US" w:eastAsia="zh-CN"/>
        </w:rPr>
        <w:outlineLvl w:val="9"/>
      </w:pPr>
      <w:r/>
      <w:bookmarkStart w:id="414" w:name="_Toc16019"/>
      <w:r/>
      <w:bookmarkStart w:id="415" w:name="_Toc7225"/>
      <w:r/>
      <w:bookmarkStart w:id="416" w:name="_Toc29848"/>
      <w:r/>
      <w:bookmarkStart w:id="417" w:name="_Toc153441915"/>
      <w:r/>
      <w:bookmarkStart w:id="418" w:name="_Toc7755"/>
      <w:r/>
      <w:bookmarkStart w:id="419" w:name="_Toc9975"/>
      <w:r/>
      <w:bookmarkStart w:id="420" w:name="_Toc8936"/>
      <w:r/>
      <w:bookmarkStart w:id="421" w:name="_Toc27439"/>
      <w:r/>
      <w:bookmarkStart w:id="422" w:name="_Toc13994"/>
      <w:r/>
      <w:bookmarkStart w:id="423" w:name="_Toc22923"/>
      <w:r/>
      <w:bookmarkStart w:id="424" w:name="_Toc29914"/>
      <w:r/>
      <w:bookmarkStart w:id="425" w:name="_Toc21448"/>
      <w:r/>
      <w:bookmarkStart w:id="426" w:name="_Toc23763"/>
      <w:r/>
      <w:bookmarkStart w:id="427" w:name="_Toc19167"/>
      <w:r/>
      <w:bookmarkStart w:id="428" w:name="_Toc27678"/>
      <w:r/>
      <w:bookmarkStart w:id="429" w:name="_Toc7866"/>
      <w:r/>
      <w:bookmarkStart w:id="430" w:name="_Toc12356"/>
      <w:r/>
      <w:bookmarkStart w:id="431" w:name="_Toc23461"/>
      <w:r/>
      <w:bookmarkStart w:id="432" w:name="_Toc2173"/>
      <w:r/>
      <w:bookmarkStart w:id="433" w:name="_Toc28911"/>
      <w:r/>
      <w:bookmarkStart w:id="434" w:name="_Toc116284560"/>
      <w:r/>
      <w:bookmarkStart w:id="435" w:name="_Toc32029"/>
      <w:r/>
      <w:bookmarkStart w:id="436" w:name="_Toc4430"/>
      <w:r/>
      <w:bookmarkStart w:id="437" w:name="_Toc16129"/>
      <w:r>
        <w:rPr>
          <w:rFonts w:hint="eastAsia" w:ascii="宋体" w:hAnsi="宋体" w:eastAsia="宋体" w:cs="宋体"/>
          <w:b/>
          <w:bCs/>
          <w:color w:val="auto"/>
          <w:sz w:val="24"/>
          <w:highlight w:val="none"/>
          <w:lang w:val="en-US"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Start w:id="438" w:name="_Toc7211"/>
      <w:r/>
      <w:bookmarkStart w:id="439" w:name="_Toc7715"/>
      <w:r/>
      <w:bookmarkStart w:id="440" w:name="_Toc28018"/>
      <w:r/>
      <w:bookmarkStart w:id="441" w:name="_Toc13484"/>
      <w:r/>
      <w:bookmarkStart w:id="442" w:name="_Toc13912"/>
      <w:r/>
      <w:bookmarkStart w:id="443" w:name="_Toc6698"/>
      <w:r/>
      <w:bookmarkStart w:id="444" w:name="_Toc4304"/>
      <w:r/>
      <w:bookmarkStart w:id="445" w:name="_Toc31688"/>
      <w:r/>
      <w:bookmarkStart w:id="446" w:name="_Toc24059"/>
      <w:r>
        <w:rPr>
          <w:rFonts w:hint="eastAsia" w:ascii="宋体" w:hAnsi="宋体" w:eastAsia="宋体" w:cs="宋体"/>
          <w:b/>
          <w:color w:val="auto"/>
          <w:sz w:val="24"/>
          <w:szCs w:val="24"/>
          <w:highlight w:val="none"/>
          <w:lang w:val="en-US" w:eastAsia="zh-CN"/>
        </w:rPr>
        <w:t xml:space="preserve">服务与承诺（格式自拟）</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rPr>
        <w:outlineLvl w:val="9"/>
      </w:pPr>
      <w:r>
        <w:rPr>
          <w:rFonts w:hint="eastAsia" w:ascii="宋体" w:hAnsi="宋体" w:eastAsia="宋体" w:cs="宋体"/>
          <w:b/>
          <w:color w:val="auto"/>
          <w:sz w:val="32"/>
          <w:szCs w:val="32"/>
          <w:highlight w:val="none"/>
          <w:lang w:val="en-US" w:eastAsia="zh-CN"/>
        </w:rPr>
        <w:t xml:space="preserve">服务与承诺</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我公司就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（供应商自拟）</w:t>
      </w:r>
      <w:r/>
    </w:p>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授权代表签字：             </w:t>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bookmarkEnd w:id="236"/>
      <w:r/>
      <w:bookmarkEnd w:id="237"/>
      <w:r/>
      <w:bookmarkEnd w:id="238"/>
      <w:r/>
      <w:bookmarkEnd w:id="239"/>
      <w:r/>
      <w:bookmarkEnd w:id="240"/>
      <w:r/>
      <w:bookmarkEnd w:id="241"/>
      <w:r/>
      <w:bookmarkEnd w:id="242"/>
      <w:r/>
      <w:bookmarkEnd w:id="243"/>
      <w:r/>
      <w:bookmarkEnd w:id="438"/>
      <w:r/>
      <w:bookmarkEnd w:id="439"/>
      <w:r/>
      <w:bookmarkEnd w:id="440"/>
      <w:r/>
      <w:bookmarkEnd w:id="441"/>
      <w:r/>
      <w:bookmarkEnd w:id="442"/>
      <w:r/>
      <w:bookmarkEnd w:id="443"/>
      <w:r/>
      <w:bookmarkEnd w:id="444"/>
      <w:r/>
      <w:bookmarkEnd w:id="445"/>
      <w:r/>
      <w:bookmarkEnd w:id="446"/>
      <w:r/>
      <w:bookmarkStart w:id="447" w:name="_Toc153441917"/>
      <w:r/>
      <w:bookmarkStart w:id="448" w:name="_Toc12016"/>
      <w:r/>
      <w:bookmarkStart w:id="449" w:name="_Toc13882"/>
      <w:r/>
      <w:bookmarkStart w:id="450" w:name="_Toc27446"/>
      <w:r/>
      <w:bookmarkStart w:id="451" w:name="_Toc26579"/>
      <w:r/>
      <w:bookmarkStart w:id="452" w:name="_Toc30728"/>
      <w:r/>
      <w:bookmarkStart w:id="453" w:name="_Toc4780"/>
      <w:r/>
      <w:bookmarkStart w:id="454" w:name="_Toc27576"/>
      <w:r/>
      <w:bookmarkStart w:id="455" w:name="_Toc20625"/>
      <w:r/>
      <w:bookmarkStart w:id="456" w:name="_Toc15535"/>
      <w:r/>
      <w:bookmarkStart w:id="457" w:name="_Toc19583"/>
      <w:r/>
      <w:bookmarkStart w:id="458" w:name="_Toc17388"/>
      <w:r/>
      <w:bookmarkStart w:id="459" w:name="_Toc25830"/>
      <w:r/>
      <w:bookmarkStart w:id="460" w:name="_Toc31166"/>
      <w:r/>
      <w:bookmarkStart w:id="461" w:name="_Toc5412"/>
      <w:r/>
      <w:bookmarkStart w:id="462" w:name="_Toc17178"/>
      <w:r/>
      <w:bookmarkStart w:id="463" w:name="_Toc6336"/>
      <w:r/>
      <w:bookmarkStart w:id="464" w:name="_Toc4276"/>
      <w:r/>
      <w:bookmarkStart w:id="465" w:name="_Toc31031"/>
      <w:r/>
      <w:bookmarkStart w:id="466" w:name="_Toc31436"/>
      <w:r/>
      <w:bookmarkStart w:id="467" w:name="_Toc5707"/>
      <w:r/>
      <w:bookmarkStart w:id="468" w:name="_Toc17045"/>
      <w:r/>
      <w:bookmarkStart w:id="469" w:name="_Toc7887"/>
      <w:r/>
      <w:bookmarkStart w:id="470" w:name="_Toc6878"/>
      <w:r/>
      <w:bookmarkStart w:id="471" w:name="_Toc10415"/>
      <w:r/>
      <w:bookmarkStart w:id="472" w:name="_Toc20122"/>
      <w:r/>
      <w:bookmarkStart w:id="473" w:name="_Toc2093"/>
      <w:r/>
      <w:bookmarkStart w:id="474" w:name="_Toc3582"/>
      <w:r/>
      <w:bookmarkStart w:id="475" w:name="_Toc116284563"/>
      <w:r/>
      <w:bookmarkStart w:id="476" w:name="_Toc29835"/>
      <w:r/>
      <w:bookmarkStart w:id="477" w:name="_Toc22112"/>
      <w:r/>
      <w:bookmarkStart w:id="478" w:name="_Toc8388"/>
      <w:r/>
      <w:bookmarkStart w:id="479" w:name="_Toc1352"/>
      <w:r/>
      <w:bookmarkStart w:id="480" w:name="_Toc10669"/>
      <w:r/>
      <w:bookmarkStart w:id="481" w:name="_Toc14174"/>
      <w:r/>
      <w:bookmarkStart w:id="482" w:name="_Toc16174"/>
      <w:r/>
      <w:bookmarkStart w:id="483" w:name="_Toc11914"/>
      <w:r/>
      <w:bookmarkStart w:id="484" w:name="_Toc20700"/>
      <w:r/>
      <w:bookmarkStart w:id="485" w:name="_Toc28544"/>
      <w:r/>
      <w:bookmarkStart w:id="486" w:name="_Toc18025"/>
      <w:r/>
      <w:r/>
    </w:p>
    <w:p>
      <w:pPr>
        <w:ind w:firstLine="420"/>
        <w:jc w:val="righ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both"/>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lang w:val="en-US" w:eastAsia="zh-CN"/>
        </w:rPr>
        <w:t xml:space="preserve">十</w:t>
      </w: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 w:val="24"/>
          <w:highlight w:val="none"/>
          <w:lang w:val="zh-CN"/>
        </w:rPr>
        <w:t xml:space="preserve">、</w:t>
      </w:r>
      <w:bookmarkEnd w:id="447"/>
      <w:r>
        <w:rPr>
          <w:rFonts w:hint="eastAsia" w:ascii="宋体" w:hAnsi="宋体" w:eastAsia="宋体" w:cs="宋体"/>
          <w:b/>
          <w:color w:val="auto"/>
          <w:sz w:val="24"/>
          <w:szCs w:val="24"/>
          <w:highlight w:val="none"/>
          <w:lang w:val="en-US" w:eastAsia="zh-CN"/>
        </w:rPr>
        <w:t xml:space="preserve">招标文件里需要提供的其他资料（若有）</w:t>
      </w:r>
      <w:r/>
    </w:p>
    <w:p>
      <w:pPr>
        <w:ind w:firstLine="482"/>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spacing w:line="360" w:lineRule="auto"/>
        <w:rPr>
          <w:rFonts w:hint="eastAsia" w:ascii="宋体" w:hAnsi="宋体" w:eastAsia="宋体" w:cs="宋体"/>
          <w:b/>
          <w:color w:val="auto"/>
          <w:highlight w:val="none"/>
        </w:rPr>
        <w:outlineLvl w:val="1"/>
      </w:pPr>
      <w:r/>
      <w:bookmarkStart w:id="487" w:name="_Toc153441918"/>
      <w:r>
        <w:rPr>
          <w:rFonts w:hint="eastAsia" w:ascii="宋体" w:hAnsi="宋体" w:eastAsia="宋体" w:cs="宋体"/>
          <w:b/>
          <w:bCs/>
          <w:color w:val="auto"/>
          <w:sz w:val="24"/>
          <w:highlight w:val="none"/>
        </w:rPr>
        <w:t xml:space="preserve">附件一、</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Start w:id="488" w:name="_Toc32016"/>
      <w:r/>
      <w:bookmarkStart w:id="489" w:name="_Toc16049"/>
      <w:r/>
      <w:bookmarkStart w:id="490" w:name="_Toc574"/>
      <w:r/>
      <w:bookmarkStart w:id="491" w:name="_Toc19860"/>
      <w:r>
        <w:rPr>
          <w:rFonts w:hint="eastAsia" w:ascii="宋体" w:hAnsi="宋体" w:eastAsia="宋体" w:cs="宋体"/>
          <w:b/>
          <w:color w:val="auto"/>
          <w:sz w:val="24"/>
          <w:highlight w:val="none"/>
        </w:rPr>
        <w:t xml:space="preserve">中小企业声明函格式</w:t>
      </w:r>
      <w:bookmarkEnd w:id="488"/>
      <w:r>
        <w:rPr>
          <w:rFonts w:hint="eastAsia" w:ascii="宋体" w:hAnsi="宋体" w:eastAsia="宋体" w:cs="宋体"/>
          <w:b/>
          <w:color w:val="auto"/>
          <w:sz w:val="24"/>
          <w:highlight w:val="none"/>
        </w:rPr>
        <w:t xml:space="preserve">（服务）</w:t>
      </w:r>
      <w:bookmarkEnd w:id="473"/>
      <w:r/>
      <w:bookmarkEnd w:id="474"/>
      <w:r/>
      <w:bookmarkEnd w:id="475"/>
      <w:r/>
      <w:bookmarkEnd w:id="487"/>
      <w:r/>
      <w:bookmarkEnd w:id="489"/>
      <w:r/>
      <w:bookmarkEnd w:id="490"/>
      <w:r/>
      <w:bookmarkEnd w:id="491"/>
      <w:r/>
      <w:r/>
    </w:p>
    <w:p>
      <w:pPr>
        <w:ind w:firstLine="562"/>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cs="宋体"/>
          <w:b/>
          <w:bCs/>
          <w:color w:val="auto"/>
          <w:sz w:val="28"/>
          <w:szCs w:val="28"/>
          <w:highlight w:val="none"/>
          <w:lang w:val="en-US" w:eastAsia="zh-CN"/>
        </w:rPr>
        <w:t xml:space="preserve">货物</w:t>
      </w:r>
      <w:r>
        <w:rPr>
          <w:rFonts w:hint="eastAsia" w:ascii="宋体" w:hAnsi="宋体" w:eastAsia="宋体" w:cs="宋体"/>
          <w:b/>
          <w:bCs/>
          <w:color w:val="auto"/>
          <w:sz w:val="28"/>
          <w:szCs w:val="28"/>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       （采购人名称）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vertAlign w:val="superscript"/>
        </w:rPr>
        <w:t xml:space="preserve">①</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    （标的名称）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（采购文件中明确的所属行业）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vertAlign w:val="superscript"/>
        </w:rPr>
        <w:t xml:space="preserve">①</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（中型企业、小型企业、微型企业）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 法承担相应责任。</w:t>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w:t>
      </w:r>
      <w:r>
        <w:rPr>
          <w:rFonts w:hint="eastAsia" w:ascii="宋体" w:hAnsi="宋体" w:eastAsia="宋体" w:cs="宋体"/>
          <w:color w:val="auto"/>
          <w:highlight w:val="none"/>
        </w:rPr>
        <w:t xml:space="preserve">（盖章）：</w:t>
      </w:r>
      <w:r/>
    </w:p>
    <w:p>
      <w:pPr>
        <w:ind w:firstLine="4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2：从业人员、营业收入、资产总额填报上一年度数据，无上一年度数据的新成立企业可不填报。</w:t>
      </w:r>
      <w:r/>
    </w:p>
    <w:p>
      <w:pPr>
        <w:spacing w:line="24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3：供应商如不提供此声明函，价格将不做相应扣除。</w:t>
      </w:r>
      <w:r/>
    </w:p>
    <w:p>
      <w:pPr>
        <w:ind w:firstLine="560"/>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br w:type="page" w:clear="all"/>
      </w:r>
      <w:r/>
    </w:p>
    <w:p>
      <w:pPr>
        <w:jc w:val="center"/>
        <w:spacing w:line="360" w:lineRule="auto"/>
        <w:rPr>
          <w:rFonts w:ascii="宋体" w:hAnsi="宋体"/>
          <w:b/>
          <w:color w:val="auto"/>
          <w:sz w:val="32"/>
          <w:szCs w:val="32"/>
          <w:highlight w:val="none"/>
        </w:rPr>
      </w:pPr>
      <w:r/>
      <w:bookmarkStart w:id="492" w:name="_Toc11338"/>
      <w:r/>
      <w:bookmarkStart w:id="493" w:name="_Toc31452"/>
      <w:r/>
      <w:bookmarkStart w:id="494" w:name="_Toc29218"/>
      <w:r/>
      <w:bookmarkStart w:id="495" w:name="_Toc28482"/>
      <w:r/>
      <w:bookmarkStart w:id="496" w:name="_Toc24091"/>
      <w:r/>
      <w:bookmarkStart w:id="497" w:name="_Toc11522"/>
      <w:r/>
      <w:bookmarkStart w:id="498" w:name="_Toc116284564"/>
      <w:r/>
      <w:bookmarkStart w:id="499" w:name="_Toc153441919"/>
      <w:r/>
      <w:bookmarkStart w:id="500" w:name="_Toc32151"/>
      <w:r/>
      <w:bookmarkStart w:id="501" w:name="_Toc28517"/>
      <w:r>
        <w:rPr>
          <w:rFonts w:hint="eastAsia" w:ascii="宋体" w:hAnsi="宋体"/>
          <w:b/>
          <w:color w:val="auto"/>
          <w:sz w:val="32"/>
          <w:szCs w:val="32"/>
          <w:highlight w:val="none"/>
        </w:rPr>
        <w:t xml:space="preserve">残疾人福利性单位声明函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olor w:val="auto"/>
          <w:szCs w:val="21"/>
          <w:highlight w:val="none"/>
        </w:rPr>
        <w:t xml:space="preserve">供应商名称</w:t>
      </w:r>
      <w:r>
        <w:rPr>
          <w:rFonts w:hint="eastAsia" w:ascii="宋体" w:hAnsi="宋体" w:cs="宋体"/>
          <w:color w:val="auto"/>
          <w:szCs w:val="21"/>
          <w:highlight w:val="none"/>
        </w:rPr>
        <w:t xml:space="preserve">（盖章）：</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属于监狱企业的证明文件</w:t>
      </w:r>
      <w:r/>
    </w:p>
    <w:p>
      <w:pPr>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提供</w:t>
      </w:r>
      <w:r>
        <w:rPr>
          <w:rFonts w:hint="eastAsia" w:ascii="宋体" w:hAnsi="宋体"/>
          <w:color w:val="auto"/>
          <w:highlight w:val="none"/>
        </w:rPr>
        <w:t xml:space="preserve">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节能产品认证证书</w:t>
      </w:r>
      <w:r/>
    </w:p>
    <w:p>
      <w:pPr>
        <w:spacing w:line="360" w:lineRule="auto"/>
        <w:rPr>
          <w:rFonts w:ascii="宋体" w:hAnsi="宋体"/>
          <w:bCs/>
          <w:color w:val="auto"/>
          <w:highlight w:val="none"/>
        </w:rPr>
      </w:pPr>
      <w:r>
        <w:rPr>
          <w:rFonts w:hint="eastAsia" w:ascii="宋体" w:hAnsi="宋体"/>
          <w:bCs/>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环境标志产品认证证书</w:t>
      </w:r>
      <w:r/>
    </w:p>
    <w:p>
      <w:pPr>
        <w:spacing w:line="360" w:lineRule="auto"/>
        <w:rPr>
          <w:color w:val="auto"/>
          <w:highlight w:val="none"/>
        </w:rPr>
      </w:pPr>
      <w:r>
        <w:rPr>
          <w:rFonts w:hint="eastAsia" w:ascii="宋体" w:hAnsi="宋体"/>
          <w:bCs/>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进口产品转让技术、消化吸收再创新方案</w:t>
      </w:r>
      <w:r/>
    </w:p>
    <w:p>
      <w:pPr>
        <w:ind w:firstLine="420"/>
        <w:spacing w:line="360" w:lineRule="auto"/>
        <w:rPr>
          <w:rFonts w:ascii="宋体" w:hAnsi="宋体"/>
          <w:color w:val="auto"/>
          <w:sz w:val="28"/>
          <w:szCs w:val="28"/>
          <w:highlight w:val="none"/>
        </w:rPr>
      </w:pPr>
      <w:r>
        <w:rPr>
          <w:rFonts w:hint="eastAsia" w:ascii="宋体" w:hAnsi="宋体"/>
          <w:bCs/>
          <w:color w:val="auto"/>
          <w:highlight w:val="none"/>
        </w:rPr>
        <w:t xml:space="preserve">（对于允许进口产品参加的项目）</w:t>
      </w:r>
      <w:r/>
    </w:p>
    <w:p>
      <w:pPr>
        <w:ind w:firstLine="420"/>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420"/>
        <w:spacing w:line="360" w:lineRule="auto"/>
        <w:rPr>
          <w:rFonts w:ascii="宋体" w:hAnsi="宋体"/>
          <w:color w:val="auto"/>
          <w:sz w:val="28"/>
          <w:szCs w:val="28"/>
          <w:highlight w:val="none"/>
        </w:rPr>
      </w:pPr>
      <w:r>
        <w:rPr>
          <w:rFonts w:ascii="宋体" w:hAnsi="宋体"/>
          <w:color w:val="auto"/>
          <w:sz w:val="28"/>
          <w:szCs w:val="28"/>
          <w:highlight w:val="none"/>
        </w:rPr>
      </w:r>
      <w:r/>
    </w:p>
    <w:p>
      <w:pPr>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bookmarkEnd w:id="476"/>
      <w:r/>
      <w:bookmarkEnd w:id="477"/>
      <w:r/>
      <w:bookmarkEnd w:id="478"/>
      <w:r/>
      <w:bookmarkEnd w:id="479"/>
      <w:r/>
      <w:bookmarkEnd w:id="480"/>
      <w:r/>
      <w:bookmarkEnd w:id="481"/>
      <w:r/>
      <w:bookmarkEnd w:id="482"/>
      <w:r/>
      <w:bookmarkEnd w:id="483"/>
      <w:r/>
      <w:bookmarkEnd w:id="484"/>
      <w:r/>
      <w:bookmarkEnd w:id="485"/>
      <w:r/>
      <w:bookmarkEnd w:id="486"/>
      <w:r/>
      <w:bookmarkEnd w:id="492"/>
      <w:r/>
      <w:bookmarkEnd w:id="493"/>
      <w:r/>
      <w:bookmarkEnd w:id="494"/>
      <w:r/>
      <w:bookmarkEnd w:id="495"/>
      <w:r/>
      <w:bookmarkEnd w:id="496"/>
      <w:r/>
      <w:bookmarkEnd w:id="497"/>
      <w:r/>
      <w:bookmarkEnd w:id="498"/>
      <w:r/>
      <w:bookmarkEnd w:id="499"/>
      <w:r/>
      <w:bookmarkEnd w:id="500"/>
      <w:r/>
      <w:bookmarkEnd w:id="501"/>
      <w:r/>
      <w:r/>
    </w:p>
    <w:p>
      <w:pPr>
        <w:rPr>
          <w:rFonts w:hint="eastAsia" w:ascii="宋体" w:hAnsi="宋体" w:eastAsia="宋体" w:cs="宋体"/>
          <w:b/>
          <w:bCs/>
          <w:color w:val="auto"/>
          <w:sz w:val="24"/>
          <w:highlight w:val="none"/>
          <w:lang w:val="zh-CN"/>
        </w:rPr>
        <w:outlineLvl w:val="9"/>
      </w:pPr>
      <w:r/>
      <w:bookmarkStart w:id="502" w:name="_Toc31467"/>
      <w:r/>
      <w:bookmarkStart w:id="503" w:name="_Toc6214"/>
      <w:r/>
      <w:bookmarkStart w:id="504" w:name="_Toc23866"/>
      <w:r/>
      <w:bookmarkStart w:id="505" w:name="_Toc21421"/>
      <w:r/>
      <w:bookmarkStart w:id="506" w:name="_Toc116284565"/>
      <w:r/>
      <w:bookmarkStart w:id="507" w:name="_Toc153441920"/>
      <w:r/>
      <w:bookmarkStart w:id="508" w:name="_Toc3243"/>
      <w:r/>
      <w:bookmarkStart w:id="509" w:name="_Toc30794"/>
      <w:r/>
      <w:bookmarkStart w:id="510" w:name="_Toc27285"/>
      <w:r/>
      <w:bookmarkStart w:id="511" w:name="_Toc9900"/>
      <w:r/>
      <w:bookmarkStart w:id="512" w:name="_Toc30368"/>
      <w:r/>
      <w:bookmarkStart w:id="513" w:name="_Toc32356"/>
      <w:r/>
      <w:bookmarkStart w:id="514" w:name="_Toc23492"/>
      <w:r/>
      <w:bookmarkStart w:id="515" w:name="_Toc24015"/>
      <w:r/>
      <w:bookmarkStart w:id="516" w:name="_Toc8045"/>
      <w:r/>
      <w:bookmarkStart w:id="517" w:name="_Toc21499"/>
      <w:r/>
      <w:r/>
    </w:p>
    <w:p>
      <w:pPr>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highlight w:val="none"/>
          <w:lang w:val="zh-CN"/>
        </w:rPr>
      </w:r>
      <w:r/>
    </w:p>
    <w:p>
      <w:pPr>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highlight w:val="none"/>
          <w:lang w:val="zh-CN"/>
        </w:rPr>
      </w:r>
      <w:r/>
    </w:p>
    <w:p>
      <w:pPr>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zh-CN"/>
        </w:rPr>
        <w:t xml:space="preserve">附件</w:t>
      </w: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lang w:val="zh-CN"/>
        </w:rPr>
        <w:t xml:space="preserve">：具备履行合同所必需的设备和专业技术能力的书面声明</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8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具备履行合同所必需的设备和专业技术能力的书面声明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主要设备有：     。</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主要专业技术能力有：      。</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right="84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供应商</w:t>
      </w:r>
      <w:r>
        <w:rPr>
          <w:rFonts w:hint="eastAsia" w:ascii="宋体" w:hAnsi="宋体" w:eastAsia="宋体" w:cs="宋体"/>
          <w:color w:val="auto"/>
          <w:szCs w:val="21"/>
          <w:highlight w:val="none"/>
        </w:rPr>
        <w:t xml:space="preserve">（盖章）：            </w:t>
      </w:r>
      <w:r/>
    </w:p>
    <w:p>
      <w:pPr>
        <w:ind w:right="42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                                                      授权代表签字：             </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240" w:lineRule="atLeast"/>
        <w:widowControl/>
        <w:rPr>
          <w:rFonts w:hint="eastAsia" w:ascii="宋体" w:hAnsi="宋体" w:eastAsia="宋体" w:cs="宋体"/>
          <w:b/>
          <w:color w:val="auto"/>
          <w:sz w:val="24"/>
          <w:highlight w:val="none"/>
        </w:rPr>
      </w:pPr>
      <w:r/>
      <w:bookmarkStart w:id="518" w:name="_Toc255"/>
      <w:r/>
      <w:bookmarkStart w:id="519" w:name="_Toc24546"/>
      <w:r/>
      <w:bookmarkStart w:id="520" w:name="_Toc5885"/>
      <w:r/>
      <w:bookmarkStart w:id="521" w:name="_Toc14601"/>
      <w:r/>
      <w:bookmarkStart w:id="522" w:name="_Toc2124"/>
      <w:r/>
      <w:bookmarkStart w:id="523" w:name="_Toc21823"/>
      <w:r/>
      <w:bookmarkStart w:id="524" w:name="_Toc16018"/>
      <w:r/>
      <w:bookmarkStart w:id="525" w:name="_Toc21760"/>
      <w:r/>
      <w:r/>
    </w:p>
    <w:p>
      <w:pPr>
        <w:spacing w:line="360" w:lineRule="auto"/>
        <w:widowControl/>
        <w:rPr>
          <w:rFonts w:hint="eastAsia" w:ascii="宋体" w:hAnsi="宋体" w:eastAsia="宋体" w:cs="宋体"/>
          <w:b/>
          <w:color w:val="auto"/>
          <w:sz w:val="24"/>
          <w:highlight w:val="none"/>
        </w:rPr>
        <w:outlineLvl w:val="1"/>
      </w:pPr>
      <w:r/>
      <w:bookmarkStart w:id="526" w:name="_Toc2393"/>
      <w:r/>
      <w:bookmarkStart w:id="527" w:name="_Toc11317"/>
      <w:r/>
      <w:bookmarkStart w:id="528" w:name="_Toc23399"/>
      <w:r/>
      <w:bookmarkStart w:id="529" w:name="_Toc29353"/>
      <w:r/>
      <w:bookmarkStart w:id="530" w:name="_Toc21243"/>
      <w:r/>
      <w:bookmarkStart w:id="531" w:name="_Toc153441921"/>
      <w:r/>
      <w:bookmarkStart w:id="532" w:name="_Toc116284566"/>
      <w:r/>
      <w:bookmarkStart w:id="533" w:name="_Toc14049"/>
      <w:r>
        <w:rPr>
          <w:rFonts w:hint="eastAsia" w:ascii="宋体" w:hAnsi="宋体" w:eastAsia="宋体" w:cs="宋体"/>
          <w:b/>
          <w:color w:val="auto"/>
          <w:sz w:val="24"/>
          <w:highlight w:val="none"/>
        </w:rPr>
        <w:t xml:space="preserve">附件</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：无重大违法记录声明格式</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ind w:firstLine="562"/>
        <w:jc w:val="center"/>
        <w:rPr>
          <w:rFonts w:hint="eastAsia" w:ascii="宋体" w:hAnsi="宋体" w:eastAsia="宋体" w:cs="宋体"/>
          <w:color w:val="auto"/>
          <w:sz w:val="36"/>
          <w:szCs w:val="36"/>
          <w:highlight w:val="none"/>
        </w:rPr>
      </w:pPr>
      <w:r>
        <w:rPr>
          <w:rFonts w:hint="eastAsia" w:ascii="宋体" w:hAnsi="宋体" w:eastAsia="宋体" w:cs="宋体"/>
          <w:b/>
          <w:bCs/>
          <w:color w:val="auto"/>
          <w:sz w:val="28"/>
          <w:szCs w:val="28"/>
          <w:highlight w:val="none"/>
          <w:lang w:val="zh-CN"/>
        </w:rPr>
        <w:t xml:space="preserve">无重大违法记录声明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 xml:space="preserve">南京市公安局高淳分局</w:t>
      </w:r>
      <w:r>
        <w:rPr>
          <w:rFonts w:hint="eastAsia" w:ascii="宋体" w:hAnsi="宋体" w:eastAsia="宋体" w:cs="宋体"/>
          <w:color w:val="auto"/>
          <w:spacing w:val="6"/>
          <w:szCs w:val="21"/>
          <w:highlight w:val="none"/>
        </w:rPr>
        <w:t xml:space="preserve">：</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我单位（供应商名称）郑重声明：</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参加政府采购活动前3年内在经营活动中</w:t>
      </w:r>
      <w:r>
        <w:rPr>
          <w:rFonts w:hint="eastAsia" w:ascii="宋体" w:hAnsi="宋体" w:eastAsia="宋体" w:cs="宋体"/>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（在下划线上如实填写：有或没有）重大违法记录。</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供应商</w:t>
      </w:r>
      <w:r>
        <w:rPr>
          <w:rFonts w:hint="eastAsia" w:ascii="宋体" w:hAnsi="宋体" w:eastAsia="宋体" w:cs="宋体"/>
          <w:color w:val="auto"/>
          <w:szCs w:val="21"/>
          <w:highlight w:val="none"/>
        </w:rPr>
        <w:t xml:space="preserve">（盖章）：            </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授权代表签字：             </w:t>
      </w:r>
      <w:r/>
    </w:p>
    <w:p>
      <w:pPr>
        <w:ind w:firstLine="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ind w:right="444" w:firstLine="42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r>
      <w:r/>
    </w:p>
    <w:p>
      <w:pPr>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US" w:eastAsia="zh-CN"/>
        </w:rPr>
        <w:t xml:space="preserve">附件</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南京市政府采购供应商信用记录表暨信用承诺书</w:t>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42"/>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（以下仅为示范格式，直接填写无效，需至“南京政府采购供应商诚信档案管理系统”在线打印）</w:t>
      </w:r>
      <w:r/>
    </w:p>
    <w:p>
      <w:pPr>
        <w:pStyle w:val="1048"/>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5"/>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南京市政府采购供应商信用记录表</w:t>
            </w:r>
            <w:r/>
          </w:p>
          <w:p>
            <w:pPr>
              <w:jc w:val="center"/>
              <w:widowControl/>
              <w:rPr>
                <w:rFonts w:hint="eastAsia" w:ascii="宋体" w:hAnsi="宋体" w:eastAsia="宋体" w:cs="宋体"/>
                <w:color w:val="auto"/>
                <w:sz w:val="40"/>
                <w:szCs w:val="40"/>
                <w:highlight w:val="none"/>
              </w:rPr>
            </w:pPr>
            <w:r>
              <w:rPr>
                <w:rFonts w:hint="eastAsia" w:ascii="宋体" w:hAnsi="宋体" w:eastAsia="宋体" w:cs="宋体"/>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 xml:space="preserve">年    月    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我公司自愿参加贵中心（公司）组织的本次采购活动，严格遵守《中华人民共和国政府采购法》及相关</w:t>
            </w:r>
            <w:r>
              <w:rPr>
                <w:rFonts w:hint="eastAsia" w:ascii="宋体" w:hAnsi="宋体" w:eastAsia="宋体" w:cs="宋体"/>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供应商名称（盖章）：</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法定代表人（签字）：</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bl>
    <w:p>
      <w:pPr>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5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5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5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pacing w:line="360" w:lineRule="auto"/>
        <w:rPr>
          <w:rFonts w:hint="eastAsia" w:ascii="宋体" w:hAnsi="宋体"/>
          <w:b/>
          <w:color w:val="auto"/>
          <w:szCs w:val="21"/>
          <w:highlight w:val="none"/>
        </w:rPr>
      </w:pPr>
      <w:r/>
      <w:bookmarkStart w:id="534" w:name="_Toc432230208"/>
      <w:r/>
      <w:bookmarkStart w:id="535" w:name="_Toc44660274"/>
      <w:r/>
      <w:bookmarkStart w:id="536" w:name="_Toc55479038"/>
      <w:r>
        <w:rPr>
          <w:rFonts w:hint="eastAsia" w:ascii="宋体" w:hAnsi="宋体"/>
          <w:b/>
          <w:color w:val="auto"/>
          <w:szCs w:val="21"/>
          <w:highlight w:val="none"/>
        </w:rPr>
        <w:t xml:space="preserve">附件</w:t>
      </w:r>
      <w:bookmarkEnd w:id="534"/>
      <w:r>
        <w:rPr>
          <w:rFonts w:hint="eastAsia" w:ascii="宋体" w:hAnsi="宋体"/>
          <w:b/>
          <w:color w:val="auto"/>
          <w:szCs w:val="21"/>
          <w:highlight w:val="none"/>
          <w:lang w:val="en-US" w:eastAsia="zh-CN"/>
        </w:rPr>
        <w:t xml:space="preserve">五</w:t>
      </w:r>
      <w:r>
        <w:rPr>
          <w:rFonts w:hint="eastAsia" w:ascii="宋体" w:hAnsi="宋体"/>
          <w:b/>
          <w:color w:val="auto"/>
          <w:szCs w:val="21"/>
          <w:highlight w:val="none"/>
        </w:rPr>
        <w:t xml:space="preserve">、供应商诚信承诺书</w:t>
      </w:r>
      <w:bookmarkEnd w:id="535"/>
      <w:r/>
      <w:bookmarkEnd w:id="536"/>
      <w:r/>
      <w:r/>
    </w:p>
    <w:p>
      <w:pPr>
        <w:spacing w:after="120" w:line="360" w:lineRule="auto"/>
        <w:rPr>
          <w:rFonts w:ascii="宋体" w:hAnsi="宋体"/>
          <w:bCs/>
          <w:color w:val="auto"/>
          <w:szCs w:val="21"/>
          <w:highlight w:val="none"/>
        </w:rPr>
      </w:pPr>
      <w:r>
        <w:rPr>
          <w:rFonts w:ascii="宋体" w:hAnsi="宋体"/>
          <w:bCs/>
          <w:color w:val="auto"/>
          <w:szCs w:val="21"/>
          <w:highlight w:val="none"/>
        </w:rPr>
      </w:r>
      <w:r/>
    </w:p>
    <w:p>
      <w:pPr>
        <w:spacing w:after="120"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致：</w:t>
      </w:r>
      <w:r>
        <w:rPr>
          <w:rFonts w:hint="eastAsia" w:ascii="宋体" w:hAnsi="宋体"/>
          <w:bCs/>
          <w:color w:val="auto"/>
          <w:szCs w:val="21"/>
          <w:highlight w:val="none"/>
          <w:lang w:eastAsia="zh-CN"/>
        </w:rPr>
        <w:t xml:space="preserve">南京市公安局高淳分局</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为了诚实、客观、有序地参与本项目政府采购活动，愿就以下内容作出承诺：</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二、参加本项目组织的政府采购活动时，严格按照招标文件的规定和要求提供所需的相关材料，并对所提供的各类资料的真实性负责，不虚假应标，不虚列业绩。</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三、尊重参与政府采购活动各相关方的合法行为，接受政府采购活动依法形成的意见、结果。</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四、依法参加政府采购活动，不围标、串标，维护市场秩序，不提供“三无”产品、以次充好。</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ascii="宋体" w:hAnsi="宋体"/>
          <w:color w:val="auto"/>
          <w:szCs w:val="21"/>
          <w:highlight w:val="none"/>
        </w:rPr>
      </w:pPr>
      <w:r>
        <w:rPr>
          <w:rFonts w:hint="eastAsia" w:ascii="宋体" w:hAnsi="宋体"/>
          <w:color w:val="auto"/>
          <w:szCs w:val="21"/>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宋体" w:hAnsi="宋体"/>
          <w:color w:val="auto"/>
          <w:szCs w:val="21"/>
          <w:highlight w:val="none"/>
        </w:rPr>
      </w:pPr>
      <w:r>
        <w:rPr>
          <w:rFonts w:ascii="宋体" w:hAnsi="宋体"/>
          <w:color w:val="auto"/>
          <w:szCs w:val="21"/>
          <w:highlight w:val="none"/>
        </w:rPr>
        <w:t xml:space="preserve">七</w:t>
      </w:r>
      <w:r>
        <w:rPr>
          <w:rFonts w:hint="eastAsia" w:ascii="宋体" w:hAnsi="宋体"/>
          <w:color w:val="auto"/>
          <w:szCs w:val="21"/>
          <w:highlight w:val="none"/>
        </w:rPr>
        <w:t xml:space="preserve">、我司不存在下列情形之一：</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（1）供应商单位负责人为同一人或者存在直接控股、管理关系的不同供应商，参加同一合同项下的采购活动。</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（2）凡为采购项目提供整体设计、规范编制或者项目管理、监理、检测等服务的供应商，参加本项目的采购活动。</w:t>
      </w:r>
      <w:r/>
    </w:p>
    <w:p>
      <w:pPr>
        <w:ind w:firstLine="482"/>
        <w:spacing w:line="360" w:lineRule="auto"/>
        <w:rPr>
          <w:rFonts w:hint="eastAsia" w:ascii="宋体" w:hAnsi="宋体"/>
          <w:color w:val="auto"/>
          <w:szCs w:val="21"/>
          <w:highlight w:val="none"/>
          <w:lang w:val="en-US" w:eastAsia="zh-CN"/>
        </w:rPr>
      </w:pPr>
      <w:r>
        <w:rPr>
          <w:rFonts w:hint="eastAsia" w:ascii="宋体" w:hAnsi="宋体" w:eastAsia="宋体" w:cs="Times New Roman"/>
          <w:b w:val="0"/>
          <w:color w:val="auto"/>
          <w:sz w:val="21"/>
          <w:szCs w:val="21"/>
          <w:highlight w:val="none"/>
          <w:lang w:val="en-US" w:eastAsia="zh-CN"/>
        </w:rPr>
        <w:t xml:space="preserve"> </w:t>
      </w:r>
      <w:r>
        <w:rPr>
          <w:rFonts w:hint="eastAsia" w:ascii="宋体" w:hAnsi="宋体"/>
          <w:color w:val="auto"/>
          <w:szCs w:val="21"/>
          <w:highlight w:val="none"/>
          <w:lang w:val="en-US" w:eastAsia="zh-CN"/>
        </w:rPr>
        <w:t xml:space="preserve">八、</w:t>
      </w:r>
      <w:r>
        <w:rPr>
          <w:rFonts w:hint="eastAsia" w:ascii="宋体" w:hAnsi="宋体"/>
          <w:color w:val="auto"/>
          <w:szCs w:val="21"/>
          <w:highlight w:val="none"/>
        </w:rPr>
        <w:t xml:space="preserve">我司</w:t>
      </w:r>
      <w:r>
        <w:rPr>
          <w:rFonts w:hint="eastAsia" w:ascii="宋体" w:hAnsi="宋体"/>
          <w:color w:val="auto"/>
          <w:szCs w:val="21"/>
          <w:highlight w:val="none"/>
          <w:lang w:val="en-US" w:eastAsia="zh-CN"/>
        </w:rPr>
        <w:t xml:space="preserve">未列入失信被执行人、重大税收违法案件当事人名单、政府采购严重违法失信行为记录名单中的供应商。</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九</w:t>
      </w:r>
      <w:r>
        <w:rPr>
          <w:rFonts w:hint="eastAsia" w:ascii="宋体" w:hAnsi="宋体"/>
          <w:color w:val="auto"/>
          <w:szCs w:val="21"/>
          <w:highlight w:val="none"/>
        </w:rPr>
        <w:t xml:space="preserve">、我司承诺营业执照经营范围有能力提供本次招标项目及所要求的服务且</w:t>
      </w:r>
      <w:r>
        <w:rPr>
          <w:rFonts w:hint="eastAsia" w:ascii="宋体" w:hAnsi="宋体"/>
          <w:color w:val="auto"/>
          <w:szCs w:val="21"/>
          <w:highlight w:val="none"/>
          <w:lang w:val="en-US" w:eastAsia="zh-CN"/>
        </w:rPr>
        <w:t xml:space="preserve">未被</w:t>
      </w:r>
      <w:r>
        <w:rPr>
          <w:rFonts w:hint="eastAsia" w:ascii="宋体" w:hAnsi="宋体"/>
          <w:color w:val="auto"/>
          <w:szCs w:val="21"/>
          <w:highlight w:val="none"/>
        </w:rPr>
        <w:t xml:space="preserve">政府有关部门正在查处、</w:t>
      </w:r>
      <w:r>
        <w:rPr>
          <w:rFonts w:hint="eastAsia" w:ascii="宋体" w:hAnsi="宋体"/>
          <w:color w:val="auto"/>
          <w:szCs w:val="21"/>
          <w:highlight w:val="none"/>
          <w:lang w:val="en-US" w:eastAsia="zh-CN"/>
        </w:rPr>
        <w:t xml:space="preserve">无</w:t>
      </w:r>
      <w:r>
        <w:rPr>
          <w:rFonts w:hint="eastAsia" w:ascii="宋体" w:hAnsi="宋体"/>
          <w:color w:val="auto"/>
          <w:szCs w:val="21"/>
          <w:highlight w:val="none"/>
        </w:rPr>
        <w:t xml:space="preserve">违法经营及食品安全事故等不良记录。</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宋体" w:hAnsi="宋体"/>
          <w:color w:val="auto"/>
          <w:szCs w:val="21"/>
          <w:highlight w:val="none"/>
        </w:rPr>
      </w:pPr>
      <w:r>
        <w:rPr>
          <w:rFonts w:hint="eastAsia" w:ascii="宋体" w:hAnsi="宋体"/>
          <w:color w:val="auto"/>
          <w:szCs w:val="21"/>
          <w:highlight w:val="none"/>
        </w:rPr>
        <w:t xml:space="preserve">本承诺是招标项目投标文件的组成部分。各供应商不得随意修改，并且加盖企业公章、法定代表人或委托代理人（签字或盖章）、如供应商自行修改本承诺书内容，皆视为未提供此承诺书。</w:t>
      </w:r>
      <w:r/>
    </w:p>
    <w:p>
      <w:pPr>
        <w:ind w:firstLine="560"/>
        <w:spacing w:line="360" w:lineRule="auto"/>
        <w:rPr>
          <w:rFonts w:ascii="宋体" w:hAnsi="宋体"/>
          <w:color w:val="auto"/>
          <w:szCs w:val="21"/>
          <w:highlight w:val="none"/>
        </w:rPr>
      </w:pPr>
      <w:r>
        <w:rPr>
          <w:rFonts w:ascii="宋体" w:hAnsi="宋体"/>
          <w:color w:val="auto"/>
          <w:szCs w:val="21"/>
          <w:highlight w:val="none"/>
        </w:rPr>
      </w:r>
      <w:r/>
    </w:p>
    <w:p>
      <w:pPr>
        <w:ind w:firstLine="56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561"/>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供应商名称：（公章）</w:t>
      </w:r>
      <w:r/>
    </w:p>
    <w:p>
      <w:pPr>
        <w:ind w:firstLine="561"/>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法定代表人委托代理人：（签字或盖章）</w:t>
      </w:r>
      <w:r/>
    </w:p>
    <w:p>
      <w:pPr>
        <w:ind w:firstLine="561"/>
        <w:jc w:val="left"/>
        <w:spacing w:line="360" w:lineRule="auto"/>
        <w:rPr>
          <w:rFonts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w:t>
      </w:r>
      <w:r/>
    </w:p>
    <w:p>
      <w:pPr>
        <w:pStyle w:val="759"/>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759"/>
        <w:spacing w:line="360" w:lineRule="auto"/>
        <w:rPr>
          <w:rFonts w:hint="eastAsia"/>
          <w:color w:val="auto"/>
          <w:highlight w:val="none"/>
        </w:rPr>
      </w:pPr>
      <w:r>
        <w:rPr>
          <w:rFonts w:hint="eastAsia"/>
          <w:color w:val="auto"/>
          <w:highlight w:val="none"/>
        </w:rPr>
      </w:r>
      <w:r/>
    </w:p>
    <w:p>
      <w:pPr>
        <w:spacing w:line="360" w:lineRule="auto"/>
        <w:widowControl/>
        <w:rPr>
          <w:rFonts w:ascii="宋体" w:hAnsi="宋体"/>
          <w:b/>
          <w:color w:val="auto"/>
          <w:szCs w:val="21"/>
          <w:highlight w:val="none"/>
        </w:rPr>
        <w:outlineLvl w:val="0"/>
      </w:pPr>
      <w:r/>
      <w:bookmarkStart w:id="537" w:name="_Toc55479039"/>
      <w:r/>
      <w:bookmarkStart w:id="538" w:name="_Toc13624"/>
      <w:r>
        <w:rPr>
          <w:rFonts w:ascii="宋体" w:hAnsi="宋体"/>
          <w:b/>
          <w:color w:val="auto"/>
          <w:szCs w:val="21"/>
          <w:highlight w:val="none"/>
        </w:rPr>
        <w:t xml:space="preserve">附件</w:t>
      </w: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w:t>
      </w:r>
      <w:r>
        <w:rPr>
          <w:rFonts w:ascii="宋体" w:hAnsi="宋体"/>
          <w:b/>
          <w:color w:val="auto"/>
          <w:szCs w:val="21"/>
          <w:highlight w:val="none"/>
        </w:rPr>
        <w:t xml:space="preserve">信用查询</w:t>
      </w:r>
      <w:bookmarkEnd w:id="537"/>
      <w:r/>
      <w:bookmarkEnd w:id="538"/>
      <w:r/>
      <w:r/>
    </w:p>
    <w:p>
      <w:pPr>
        <w:pStyle w:val="759"/>
        <w:rPr>
          <w:rFonts w:hint="eastAsia"/>
          <w:color w:val="auto"/>
          <w:highlight w:val="none"/>
          <w:lang w:val="en-US" w:eastAsia="zh-CN"/>
        </w:rPr>
      </w:pPr>
      <w:r>
        <w:rPr>
          <w:rFonts w:hint="eastAsia" w:ascii="宋体" w:hAnsi="宋体"/>
          <w:color w:val="auto"/>
          <w:szCs w:val="21"/>
          <w:highlight w:val="none"/>
        </w:rPr>
        <w:t xml:space="preserve">供应商</w:t>
      </w:r>
      <w:r>
        <w:rPr>
          <w:rFonts w:ascii="宋体" w:hAnsi="宋体"/>
          <w:color w:val="auto"/>
          <w:szCs w:val="21"/>
          <w:highlight w:val="none"/>
        </w:rPr>
        <w:t xml:space="preserve">未被</w:t>
      </w:r>
      <w:r>
        <w:rPr>
          <w:rFonts w:hint="eastAsia" w:ascii="宋体" w:hAnsi="宋体"/>
          <w:color w:val="auto"/>
          <w:szCs w:val="21"/>
          <w:highlight w:val="none"/>
        </w:rPr>
        <w:t xml:space="preserve">“信用中国”网站（www.creditchina.gov.cn）、“中国政府采购网”网站（www.ccgp.gov.cn）、</w:t>
      </w:r>
      <w:r>
        <w:rPr>
          <w:rFonts w:ascii="宋体" w:hAnsi="宋体"/>
          <w:color w:val="auto"/>
          <w:szCs w:val="21"/>
          <w:highlight w:val="none"/>
        </w:rPr>
        <w:t xml:space="preserve">列入失信被执行人、重大税收违法案件当事人名单、政府采购严重违法失信行为记录名单的。（提供查阅记录截图并加盖企业公章）</w:t>
      </w:r>
      <w:r/>
    </w:p>
    <w:sectPr>
      <w:footnotePr/>
      <w:endnotePr/>
      <w:type w:val="nextPage"/>
      <w:pgSz w:w="11906" w:h="16838" w:orient="portrait"/>
      <w:pgMar w:top="1134" w:right="1020" w:bottom="1134" w:left="102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Wingdings">
    <w:panose1 w:val="05000000000000000000"/>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方正大黑简体">
    <w:panose1 w:val="020B0503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w:r/>
  </w:p>
  <w:p>
    <w:pPr>
      <w:pStyle w:val="11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426"/>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 xml:space="preserve">2</w:t>
    </w:r>
    <w:r>
      <w:rPr>
        <w:rFonts w:ascii="宋体" w:hAnsi="宋体"/>
        <w:sz w:val="28"/>
        <w:szCs w:val="28"/>
      </w:rPr>
      <w:fldChar w:fldCharType="end"/>
    </w:r>
    <w:r>
      <w:rPr>
        <w:rFonts w:hint="eastAsia" w:ascii="宋体" w:hAnsi="宋体"/>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left="4602" w:firstLine="480"/>
      <w:spacing w:line="173" w:lineRule="auto"/>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ind w:left="3686" w:firstLine="0"/>
      </w:pPr>
    </w:lvl>
    <w:lvl w:ilvl="1">
      <w:start w:val="1"/>
      <w:numFmt w:val="decimal"/>
      <w:pStyle w:val="1188"/>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19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190"/>
    <w:uiPriority w:val="0"/>
    <w:qFormat/>
    <w:pPr>
      <w:jc w:val="both"/>
      <w:widowControl w:val="off"/>
    </w:pPr>
    <w:rPr>
      <w:rFonts w:hint="default" w:ascii="Calibri" w:hAnsi="Calibri" w:eastAsia="宋体" w:cs="Times New Roman"/>
      <w:sz w:val="21"/>
      <w:szCs w:val="24"/>
    </w:rPr>
  </w:style>
  <w:style w:type="paragraph" w:styleId="735">
    <w:name w:val="Heading 1"/>
    <w:basedOn w:val="734"/>
    <w:next w:val="734"/>
    <w:link w:val="946"/>
    <w:uiPriority w:val="0"/>
    <w:qFormat/>
    <w:pPr>
      <w:keepLines/>
      <w:keepNext/>
      <w:spacing w:before="340" w:after="330" w:line="576" w:lineRule="auto"/>
      <w:outlineLvl w:val="0"/>
    </w:pPr>
    <w:rPr>
      <w:b/>
      <w:bCs/>
      <w:sz w:val="44"/>
      <w:szCs w:val="44"/>
    </w:rPr>
  </w:style>
  <w:style w:type="paragraph" w:styleId="736">
    <w:name w:val="Heading 2"/>
    <w:basedOn w:val="734"/>
    <w:next w:val="734"/>
    <w:link w:val="947"/>
    <w:uiPriority w:val="0"/>
    <w:qFormat/>
    <w:pPr>
      <w:keepLines/>
      <w:keepNext/>
      <w:spacing w:before="260" w:after="260" w:line="413" w:lineRule="auto"/>
      <w:outlineLvl w:val="1"/>
    </w:pPr>
    <w:rPr>
      <w:rFonts w:ascii="Arial" w:hAnsi="Arial" w:eastAsia="黑体"/>
      <w:b/>
      <w:bCs/>
      <w:sz w:val="32"/>
      <w:szCs w:val="32"/>
    </w:rPr>
  </w:style>
  <w:style w:type="paragraph" w:styleId="737">
    <w:name w:val="Heading 3"/>
    <w:basedOn w:val="734"/>
    <w:next w:val="734"/>
    <w:link w:val="948"/>
    <w:uiPriority w:val="0"/>
    <w:qFormat/>
    <w:pPr>
      <w:keepLines/>
      <w:keepNext/>
      <w:spacing w:before="260" w:after="260" w:line="413" w:lineRule="auto"/>
      <w:outlineLvl w:val="2"/>
    </w:pPr>
    <w:rPr>
      <w:b/>
      <w:bCs/>
      <w:sz w:val="32"/>
      <w:szCs w:val="32"/>
    </w:rPr>
  </w:style>
  <w:style w:type="paragraph" w:styleId="738">
    <w:name w:val="Heading 4"/>
    <w:basedOn w:val="734"/>
    <w:next w:val="734"/>
    <w:link w:val="949"/>
    <w:uiPriority w:val="0"/>
    <w:qFormat/>
    <w:pPr>
      <w:keepLines/>
      <w:keepNext/>
      <w:spacing w:before="120" w:after="120"/>
      <w:outlineLvl w:val="3"/>
    </w:pPr>
    <w:rPr>
      <w:rFonts w:ascii="Arial" w:hAnsi="Arial" w:eastAsia="黑体"/>
      <w:b/>
      <w:sz w:val="28"/>
      <w:szCs w:val="20"/>
    </w:rPr>
  </w:style>
  <w:style w:type="paragraph" w:styleId="739">
    <w:name w:val="Heading 5"/>
    <w:basedOn w:val="734"/>
    <w:next w:val="734"/>
    <w:link w:val="95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40">
    <w:name w:val="Heading 6"/>
    <w:basedOn w:val="734"/>
    <w:next w:val="734"/>
    <w:link w:val="951"/>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41">
    <w:name w:val="Heading 7"/>
    <w:basedOn w:val="734"/>
    <w:next w:val="734"/>
    <w:link w:val="952"/>
    <w:uiPriority w:val="0"/>
    <w:qFormat/>
    <w:pPr>
      <w:ind w:left="1296" w:hanging="1296"/>
      <w:keepLines/>
      <w:keepNext/>
      <w:spacing w:before="240" w:after="64" w:line="317" w:lineRule="auto"/>
      <w:tabs>
        <w:tab w:val="left" w:pos="1296" w:leader="none"/>
      </w:tabs>
      <w:outlineLvl w:val="6"/>
    </w:pPr>
    <w:rPr>
      <w:b/>
      <w:bCs/>
      <w:sz w:val="24"/>
    </w:rPr>
  </w:style>
  <w:style w:type="paragraph" w:styleId="742">
    <w:name w:val="Heading 8"/>
    <w:basedOn w:val="734"/>
    <w:next w:val="734"/>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43">
    <w:name w:val="Heading 9"/>
    <w:basedOn w:val="734"/>
    <w:next w:val="734"/>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itle"/>
    <w:basedOn w:val="734"/>
    <w:next w:val="734"/>
    <w:uiPriority w:val="0"/>
    <w:qFormat/>
    <w:pPr>
      <w:jc w:val="center"/>
      <w:spacing w:line="420" w:lineRule="exact"/>
      <w:widowControl/>
    </w:pPr>
    <w:rPr>
      <w:rFonts w:eastAsia="黑体"/>
      <w:b/>
      <w:sz w:val="28"/>
      <w:szCs w:val="20"/>
      <w:lang w:val="en-GB"/>
    </w:rPr>
  </w:style>
  <w:style w:type="paragraph" w:styleId="747">
    <w:name w:val="toc 7"/>
    <w:basedOn w:val="734"/>
    <w:next w:val="734"/>
    <w:uiPriority w:val="39"/>
    <w:unhideWhenUsed/>
    <w:qFormat/>
    <w:pPr>
      <w:ind w:left="1701" w:right="0" w:firstLine="0"/>
      <w:spacing w:after="57"/>
    </w:pPr>
  </w:style>
  <w:style w:type="paragraph" w:styleId="748">
    <w:name w:val="List Number 2"/>
    <w:basedOn w:val="734"/>
    <w:uiPriority w:val="0"/>
    <w:qFormat/>
    <w:pPr>
      <w:ind w:left="1440" w:hanging="1440"/>
      <w:spacing w:line="360" w:lineRule="auto"/>
      <w:tabs>
        <w:tab w:val="left" w:pos="1440" w:leader="none"/>
      </w:tabs>
    </w:pPr>
    <w:rPr>
      <w:sz w:val="24"/>
    </w:rPr>
  </w:style>
  <w:style w:type="paragraph" w:styleId="749">
    <w:name w:val="List Number"/>
    <w:basedOn w:val="734"/>
    <w:uiPriority w:val="0"/>
    <w:qFormat/>
    <w:pPr>
      <w:ind w:left="2952" w:hanging="432"/>
      <w:tabs>
        <w:tab w:val="left" w:pos="2952" w:leader="none"/>
      </w:tabs>
    </w:pPr>
  </w:style>
  <w:style w:type="paragraph" w:styleId="750">
    <w:name w:val="Normal Indent"/>
    <w:basedOn w:val="734"/>
    <w:uiPriority w:val="0"/>
    <w:qFormat/>
    <w:pPr>
      <w:ind w:firstLine="420"/>
    </w:pPr>
    <w:rPr>
      <w:szCs w:val="20"/>
    </w:rPr>
  </w:style>
  <w:style w:type="paragraph" w:styleId="751">
    <w:name w:val="Caption"/>
    <w:basedOn w:val="734"/>
    <w:next w:val="734"/>
    <w:uiPriority w:val="35"/>
    <w:semiHidden/>
    <w:unhideWhenUsed/>
    <w:qFormat/>
    <w:pPr>
      <w:spacing w:line="276" w:lineRule="auto"/>
    </w:pPr>
    <w:rPr>
      <w:b/>
      <w:bCs/>
      <w:color w:val="4f81bd" w:themeColor="accent1"/>
      <w:sz w:val="18"/>
      <w:szCs w:val="18"/>
    </w:rPr>
  </w:style>
  <w:style w:type="paragraph" w:styleId="752">
    <w:name w:val="Document Map"/>
    <w:basedOn w:val="734"/>
    <w:link w:val="953"/>
    <w:uiPriority w:val="0"/>
    <w:qFormat/>
    <w:pPr>
      <w:shd w:val="clear" w:color="auto" w:fill="000080"/>
    </w:pPr>
  </w:style>
  <w:style w:type="paragraph" w:styleId="753">
    <w:name w:val="annotation text"/>
    <w:basedOn w:val="734"/>
    <w:link w:val="954"/>
    <w:uiPriority w:val="0"/>
    <w:qFormat/>
    <w:pPr>
      <w:jc w:val="left"/>
    </w:pPr>
    <w:rPr>
      <w:szCs w:val="20"/>
    </w:rPr>
  </w:style>
  <w:style w:type="paragraph" w:styleId="754">
    <w:name w:val="Salutation"/>
    <w:basedOn w:val="734"/>
    <w:next w:val="734"/>
    <w:uiPriority w:val="0"/>
    <w:qFormat/>
    <w:rPr>
      <w:rFonts w:ascii="仿宋_GB2312" w:eastAsia="仿宋_GB2312"/>
      <w:sz w:val="28"/>
      <w:szCs w:val="20"/>
    </w:rPr>
  </w:style>
  <w:style w:type="paragraph" w:styleId="755">
    <w:name w:val="Body Text 3"/>
    <w:basedOn w:val="734"/>
    <w:uiPriority w:val="0"/>
    <w:qFormat/>
    <w:pPr>
      <w:spacing w:after="120"/>
    </w:pPr>
    <w:rPr>
      <w:sz w:val="16"/>
      <w:szCs w:val="16"/>
    </w:rPr>
  </w:style>
  <w:style w:type="paragraph" w:styleId="756">
    <w:name w:val="Body Text"/>
    <w:basedOn w:val="734"/>
    <w:uiPriority w:val="0"/>
    <w:qFormat/>
    <w:pPr>
      <w:jc w:val="center"/>
    </w:pPr>
    <w:rPr>
      <w:rFonts w:ascii="方正大黑简体" w:eastAsia="方正大黑简体"/>
      <w:position w:val="6"/>
      <w:sz w:val="30"/>
      <w:szCs w:val="20"/>
    </w:rPr>
  </w:style>
  <w:style w:type="paragraph" w:styleId="757">
    <w:name w:val="Body Text Indent"/>
    <w:basedOn w:val="734"/>
    <w:next w:val="758"/>
    <w:uiPriority w:val="0"/>
    <w:qFormat/>
    <w:pPr>
      <w:ind w:left="420"/>
      <w:spacing w:after="120"/>
    </w:pPr>
  </w:style>
  <w:style w:type="paragraph" w:styleId="758">
    <w:name w:val="envelope return"/>
    <w:basedOn w:val="734"/>
    <w:uiPriority w:val="99"/>
    <w:unhideWhenUsed/>
    <w:qFormat/>
    <w:rPr>
      <w:rFonts w:ascii="Arial" w:hAnsi="Arial" w:cs="Arial"/>
    </w:rPr>
  </w:style>
  <w:style w:type="paragraph" w:styleId="759">
    <w:name w:val="index 4"/>
    <w:basedOn w:val="734"/>
    <w:next w:val="734"/>
    <w:uiPriority w:val="0"/>
    <w:semiHidden/>
    <w:qFormat/>
    <w:pPr>
      <w:ind w:left="1260"/>
    </w:pPr>
  </w:style>
  <w:style w:type="paragraph" w:styleId="760">
    <w:name w:val="toc 5"/>
    <w:basedOn w:val="734"/>
    <w:next w:val="734"/>
    <w:uiPriority w:val="39"/>
    <w:unhideWhenUsed/>
    <w:qFormat/>
    <w:pPr>
      <w:ind w:left="1134" w:right="0" w:firstLine="0"/>
      <w:spacing w:after="57"/>
    </w:pPr>
  </w:style>
  <w:style w:type="paragraph" w:styleId="761">
    <w:name w:val="toc 3"/>
    <w:basedOn w:val="734"/>
    <w:next w:val="734"/>
    <w:uiPriority w:val="39"/>
    <w:qFormat/>
    <w:pPr>
      <w:ind w:left="840"/>
    </w:pPr>
  </w:style>
  <w:style w:type="paragraph" w:styleId="762">
    <w:name w:val="Plain Text"/>
    <w:basedOn w:val="734"/>
    <w:link w:val="955"/>
    <w:uiPriority w:val="0"/>
    <w:qFormat/>
    <w:rPr>
      <w:rFonts w:ascii="宋体" w:hAnsi="Courier New"/>
      <w:szCs w:val="21"/>
    </w:rPr>
  </w:style>
  <w:style w:type="paragraph" w:styleId="763">
    <w:name w:val="toc 8"/>
    <w:basedOn w:val="734"/>
    <w:next w:val="734"/>
    <w:uiPriority w:val="39"/>
    <w:unhideWhenUsed/>
    <w:qFormat/>
    <w:pPr>
      <w:ind w:left="1984" w:right="0" w:firstLine="0"/>
      <w:spacing w:after="57"/>
    </w:pPr>
  </w:style>
  <w:style w:type="paragraph" w:styleId="764">
    <w:name w:val="index 3"/>
    <w:basedOn w:val="734"/>
    <w:next w:val="734"/>
    <w:uiPriority w:val="0"/>
    <w:qFormat/>
    <w:pPr>
      <w:ind w:left="840"/>
    </w:pPr>
    <w:rPr>
      <w:szCs w:val="20"/>
    </w:rPr>
  </w:style>
  <w:style w:type="paragraph" w:styleId="765">
    <w:name w:val="Date"/>
    <w:basedOn w:val="734"/>
    <w:next w:val="734"/>
    <w:uiPriority w:val="0"/>
    <w:qFormat/>
    <w:pPr>
      <w:ind w:left="100"/>
    </w:pPr>
    <w:rPr>
      <w:sz w:val="28"/>
      <w:szCs w:val="20"/>
    </w:rPr>
  </w:style>
  <w:style w:type="paragraph" w:styleId="766">
    <w:name w:val="Body Text Indent 2"/>
    <w:basedOn w:val="734"/>
    <w:uiPriority w:val="0"/>
    <w:qFormat/>
    <w:pPr>
      <w:ind w:firstLine="480"/>
      <w:spacing w:line="400" w:lineRule="exact"/>
    </w:pPr>
    <w:rPr>
      <w:rFonts w:ascii="宋体" w:hAnsi="宋体"/>
      <w:sz w:val="24"/>
    </w:rPr>
  </w:style>
  <w:style w:type="paragraph" w:styleId="767">
    <w:name w:val="endnote text"/>
    <w:basedOn w:val="734"/>
    <w:link w:val="943"/>
    <w:uiPriority w:val="99"/>
    <w:semiHidden/>
    <w:unhideWhenUsed/>
    <w:qFormat/>
    <w:pPr>
      <w:spacing w:after="0" w:line="240" w:lineRule="auto"/>
    </w:pPr>
    <w:rPr>
      <w:sz w:val="20"/>
    </w:rPr>
  </w:style>
  <w:style w:type="paragraph" w:styleId="768">
    <w:name w:val="Balloon Text"/>
    <w:basedOn w:val="734"/>
    <w:link w:val="956"/>
    <w:uiPriority w:val="0"/>
    <w:qFormat/>
    <w:rPr>
      <w:sz w:val="18"/>
      <w:szCs w:val="18"/>
    </w:rPr>
  </w:style>
  <w:style w:type="paragraph" w:styleId="769">
    <w:name w:val="Footer"/>
    <w:basedOn w:val="734"/>
    <w:link w:val="957"/>
    <w:uiPriority w:val="0"/>
    <w:qFormat/>
    <w:pPr>
      <w:jc w:val="left"/>
      <w:tabs>
        <w:tab w:val="center" w:pos="4153" w:leader="none"/>
        <w:tab w:val="right" w:pos="8306" w:leader="none"/>
      </w:tabs>
    </w:pPr>
    <w:rPr>
      <w:sz w:val="18"/>
      <w:szCs w:val="18"/>
    </w:rPr>
  </w:style>
  <w:style w:type="paragraph" w:styleId="770">
    <w:name w:val="Header"/>
    <w:basedOn w:val="734"/>
    <w:link w:val="958"/>
    <w:uiPriority w:val="0"/>
    <w:qFormat/>
    <w:pPr>
      <w:jc w:val="center"/>
      <w:tabs>
        <w:tab w:val="center" w:pos="4153" w:leader="none"/>
        <w:tab w:val="right" w:pos="8306" w:leader="none"/>
      </w:tabs>
      <w:pBdr>
        <w:bottom w:val="single" w:color="auto" w:sz="6" w:space="1"/>
      </w:pBdr>
    </w:pPr>
    <w:rPr>
      <w:sz w:val="18"/>
      <w:szCs w:val="18"/>
    </w:rPr>
  </w:style>
  <w:style w:type="paragraph" w:styleId="771">
    <w:name w:val="Signature"/>
    <w:basedOn w:val="734"/>
    <w:uiPriority w:val="0"/>
    <w:qFormat/>
    <w:pPr>
      <w:jc w:val="center"/>
      <w:spacing w:after="600" w:line="312" w:lineRule="atLeast"/>
    </w:pPr>
    <w:rPr>
      <w:rFonts w:eastAsia="仿宋_GB2312"/>
      <w:sz w:val="24"/>
      <w:szCs w:val="20"/>
    </w:rPr>
  </w:style>
  <w:style w:type="paragraph" w:styleId="772">
    <w:name w:val="toc 1"/>
    <w:basedOn w:val="734"/>
    <w:next w:val="734"/>
    <w:uiPriority w:val="39"/>
    <w:qFormat/>
  </w:style>
  <w:style w:type="paragraph" w:styleId="773">
    <w:name w:val="toc 4"/>
    <w:basedOn w:val="734"/>
    <w:next w:val="734"/>
    <w:uiPriority w:val="39"/>
    <w:unhideWhenUsed/>
    <w:qFormat/>
    <w:pPr>
      <w:ind w:left="850" w:right="0" w:firstLine="0"/>
      <w:spacing w:after="57"/>
    </w:pPr>
  </w:style>
  <w:style w:type="paragraph" w:styleId="774">
    <w:name w:val="index heading"/>
    <w:basedOn w:val="734"/>
    <w:next w:val="775"/>
    <w:uiPriority w:val="0"/>
    <w:qFormat/>
    <w:rPr>
      <w:szCs w:val="20"/>
    </w:rPr>
  </w:style>
  <w:style w:type="paragraph" w:styleId="775">
    <w:name w:val="index 1"/>
    <w:basedOn w:val="734"/>
    <w:next w:val="734"/>
    <w:uiPriority w:val="0"/>
    <w:qFormat/>
    <w:pPr>
      <w:jc w:val="center"/>
      <w:tabs>
        <w:tab w:val="left" w:pos="1260" w:leader="none"/>
      </w:tabs>
    </w:pPr>
    <w:rPr>
      <w:rFonts w:ascii="仿宋_GB2312" w:hAnsi="宋体" w:eastAsia="仿宋_GB2312"/>
      <w:sz w:val="30"/>
      <w:szCs w:val="20"/>
    </w:rPr>
  </w:style>
  <w:style w:type="paragraph" w:styleId="776">
    <w:name w:val="Subtitle"/>
    <w:basedOn w:val="734"/>
    <w:next w:val="734"/>
    <w:link w:val="959"/>
    <w:uiPriority w:val="0"/>
    <w:qFormat/>
    <w:pPr>
      <w:jc w:val="center"/>
      <w:spacing w:after="560"/>
      <w:widowControl/>
    </w:pPr>
    <w:rPr>
      <w:rFonts w:ascii="Cambria" w:hAnsi="Cambria"/>
      <w:caps/>
      <w:spacing w:val="20"/>
      <w:sz w:val="18"/>
      <w:szCs w:val="18"/>
      <w:lang w:eastAsia="en-US" w:bidi="en-US"/>
    </w:rPr>
  </w:style>
  <w:style w:type="paragraph" w:styleId="777">
    <w:name w:val="footnote text"/>
    <w:basedOn w:val="734"/>
    <w:uiPriority w:val="0"/>
    <w:qFormat/>
    <w:pPr>
      <w:jc w:val="left"/>
    </w:pPr>
    <w:rPr>
      <w:sz w:val="18"/>
      <w:szCs w:val="18"/>
    </w:rPr>
  </w:style>
  <w:style w:type="paragraph" w:styleId="778">
    <w:name w:val="toc 6"/>
    <w:basedOn w:val="734"/>
    <w:next w:val="734"/>
    <w:uiPriority w:val="39"/>
    <w:unhideWhenUsed/>
    <w:qFormat/>
    <w:pPr>
      <w:ind w:left="1417" w:right="0" w:firstLine="0"/>
      <w:spacing w:after="57"/>
    </w:pPr>
  </w:style>
  <w:style w:type="paragraph" w:styleId="779">
    <w:name w:val="Body Text Indent 3"/>
    <w:basedOn w:val="734"/>
    <w:uiPriority w:val="0"/>
    <w:qFormat/>
    <w:pPr>
      <w:ind w:left="480"/>
      <w:spacing w:before="120" w:after="120" w:line="264" w:lineRule="auto"/>
    </w:pPr>
    <w:rPr>
      <w:b/>
      <w:bCs/>
      <w:sz w:val="24"/>
      <w:szCs w:val="20"/>
    </w:rPr>
  </w:style>
  <w:style w:type="paragraph" w:styleId="780">
    <w:name w:val="table of figures"/>
    <w:basedOn w:val="734"/>
    <w:next w:val="734"/>
    <w:uiPriority w:val="99"/>
    <w:unhideWhenUsed/>
    <w:qFormat/>
    <w:pPr>
      <w:spacing w:after="0" w:afterAutospacing="0"/>
    </w:pPr>
  </w:style>
  <w:style w:type="paragraph" w:styleId="781">
    <w:name w:val="toc 2"/>
    <w:basedOn w:val="734"/>
    <w:next w:val="734"/>
    <w:uiPriority w:val="39"/>
    <w:qFormat/>
    <w:pPr>
      <w:ind w:left="420"/>
    </w:pPr>
  </w:style>
  <w:style w:type="paragraph" w:styleId="782">
    <w:name w:val="toc 9"/>
    <w:basedOn w:val="734"/>
    <w:next w:val="734"/>
    <w:uiPriority w:val="39"/>
    <w:unhideWhenUsed/>
    <w:qFormat/>
    <w:pPr>
      <w:ind w:left="2268" w:right="0" w:firstLine="0"/>
      <w:spacing w:after="57"/>
    </w:pPr>
  </w:style>
  <w:style w:type="paragraph" w:styleId="783">
    <w:name w:val="Body Text 2"/>
    <w:basedOn w:val="734"/>
    <w:uiPriority w:val="0"/>
    <w:qFormat/>
    <w:pPr>
      <w:jc w:val="center"/>
    </w:pPr>
    <w:rPr>
      <w:b/>
      <w:bCs/>
      <w:sz w:val="72"/>
      <w:szCs w:val="20"/>
    </w:rPr>
  </w:style>
  <w:style w:type="paragraph" w:styleId="784">
    <w:name w:val="HTML Preformatted"/>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85">
    <w:name w:val="Normal (Web)"/>
    <w:basedOn w:val="734"/>
    <w:uiPriority w:val="0"/>
    <w:qFormat/>
    <w:pPr>
      <w:jc w:val="left"/>
      <w:spacing w:before="100" w:beforeAutospacing="1" w:after="100" w:afterAutospacing="1"/>
      <w:widowControl/>
    </w:pPr>
    <w:rPr>
      <w:rFonts w:ascii="宋体" w:hAnsi="宋体" w:cs="宋体"/>
      <w:sz w:val="24"/>
    </w:rPr>
  </w:style>
  <w:style w:type="paragraph" w:styleId="786">
    <w:name w:val="annotation subject"/>
    <w:basedOn w:val="753"/>
    <w:next w:val="753"/>
    <w:uiPriority w:val="0"/>
    <w:qFormat/>
    <w:rPr>
      <w:b/>
      <w:bCs/>
      <w:szCs w:val="24"/>
    </w:rPr>
  </w:style>
  <w:style w:type="paragraph" w:styleId="787">
    <w:name w:val="Body Text First Indent"/>
    <w:basedOn w:val="756"/>
    <w:link w:val="960"/>
    <w:uiPriority w:val="0"/>
    <w:qFormat/>
    <w:pPr>
      <w:ind w:firstLine="420"/>
      <w:jc w:val="both"/>
      <w:spacing w:after="120"/>
    </w:pPr>
    <w:rPr>
      <w:rFonts w:ascii="Calibri" w:eastAsia="宋体"/>
      <w:position w:val="0"/>
      <w:sz w:val="21"/>
      <w:szCs w:val="24"/>
    </w:rPr>
  </w:style>
  <w:style w:type="paragraph" w:styleId="788">
    <w:name w:val="Body Text First Indent 2"/>
    <w:basedOn w:val="757"/>
    <w:uiPriority w:val="0"/>
    <w:qFormat/>
    <w:pPr>
      <w:ind w:firstLine="200"/>
      <w:spacing w:line="360" w:lineRule="auto"/>
    </w:pPr>
    <w:rPr>
      <w:rFonts w:ascii="宋体"/>
    </w:rPr>
  </w:style>
  <w:style w:type="table" w:styleId="789">
    <w:name w:val="Table Grid"/>
    <w:basedOn w:val="74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uiPriority w:val="0"/>
    <w:qFormat/>
    <w:rPr>
      <w:b/>
      <w:bCs/>
    </w:rPr>
  </w:style>
  <w:style w:type="character" w:styleId="791">
    <w:name w:val="endnote reference"/>
    <w:basedOn w:val="744"/>
    <w:uiPriority w:val="99"/>
    <w:semiHidden/>
    <w:unhideWhenUsed/>
    <w:qFormat/>
    <w:rPr>
      <w:vertAlign w:val="superscript"/>
    </w:rPr>
  </w:style>
  <w:style w:type="character" w:styleId="792">
    <w:name w:val="page number"/>
    <w:basedOn w:val="744"/>
    <w:uiPriority w:val="0"/>
    <w:qFormat/>
  </w:style>
  <w:style w:type="character" w:styleId="793">
    <w:name w:val="FollowedHyperlink"/>
    <w:uiPriority w:val="0"/>
    <w:qFormat/>
    <w:rPr>
      <w:color w:val="800080"/>
      <w:u w:val="none"/>
    </w:rPr>
  </w:style>
  <w:style w:type="character" w:styleId="794">
    <w:name w:val="Emphasis"/>
    <w:basedOn w:val="744"/>
    <w:uiPriority w:val="20"/>
    <w:qFormat/>
  </w:style>
  <w:style w:type="character" w:styleId="795">
    <w:name w:val="line number"/>
    <w:basedOn w:val="744"/>
    <w:uiPriority w:val="0"/>
    <w:qFormat/>
  </w:style>
  <w:style w:type="character" w:styleId="796">
    <w:name w:val="Hyperlink"/>
    <w:uiPriority w:val="99"/>
    <w:qFormat/>
    <w:rPr>
      <w:color w:val="0000ff"/>
      <w:u w:val="none"/>
    </w:rPr>
  </w:style>
  <w:style w:type="character" w:styleId="797">
    <w:name w:val="HTML Code"/>
    <w:uiPriority w:val="99"/>
    <w:unhideWhenUsed/>
    <w:qFormat/>
    <w:rPr>
      <w:rFonts w:ascii="Courier New" w:hAnsi="Courier New"/>
      <w:sz w:val="20"/>
    </w:rPr>
  </w:style>
  <w:style w:type="character" w:styleId="798">
    <w:name w:val="annotation reference"/>
    <w:uiPriority w:val="0"/>
    <w:qFormat/>
    <w:rPr>
      <w:sz w:val="21"/>
      <w:szCs w:val="21"/>
    </w:rPr>
  </w:style>
  <w:style w:type="character" w:styleId="799">
    <w:name w:val="footnote reference"/>
    <w:uiPriority w:val="0"/>
    <w:qFormat/>
    <w:rPr>
      <w:vertAlign w:val="superscript"/>
    </w:rPr>
  </w:style>
  <w:style w:type="paragraph" w:styleId="800" w:customStyle="1">
    <w:name w:val="正文文本1"/>
    <w:basedOn w:val="734"/>
    <w:next w:val="734"/>
    <w:uiPriority w:val="0"/>
    <w:qFormat/>
    <w:pPr>
      <w:spacing w:after="120"/>
    </w:pPr>
  </w:style>
  <w:style w:type="paragraph" w:styleId="801" w:customStyle="1">
    <w:name w:val="普通(网站)1"/>
    <w:basedOn w:val="734"/>
    <w:uiPriority w:val="0"/>
    <w:qFormat/>
    <w:pPr>
      <w:jc w:val="left"/>
      <w:spacing w:before="100" w:beforeAutospacing="1" w:after="100" w:afterAutospacing="1"/>
      <w:widowControl/>
    </w:pPr>
    <w:rPr>
      <w:rFonts w:ascii="宋体" w:cs="宋体"/>
      <w:sz w:val="24"/>
    </w:rPr>
  </w:style>
  <w:style w:type="character" w:styleId="802" w:customStyle="1">
    <w:name w:val="Heading 3 Char"/>
    <w:basedOn w:val="744"/>
    <w:uiPriority w:val="9"/>
    <w:qFormat/>
    <w:rPr>
      <w:rFonts w:ascii="Arial" w:hAnsi="Arial" w:eastAsia="Arial" w:cs="Arial"/>
      <w:sz w:val="30"/>
      <w:szCs w:val="30"/>
    </w:rPr>
  </w:style>
  <w:style w:type="character" w:styleId="803" w:customStyle="1">
    <w:name w:val="Heading 4 Char"/>
    <w:basedOn w:val="744"/>
    <w:uiPriority w:val="9"/>
    <w:qFormat/>
    <w:rPr>
      <w:rFonts w:ascii="Arial" w:hAnsi="Arial" w:eastAsia="Arial" w:cs="Arial"/>
      <w:b/>
      <w:bCs/>
      <w:sz w:val="26"/>
      <w:szCs w:val="26"/>
    </w:rPr>
  </w:style>
  <w:style w:type="character" w:styleId="804" w:customStyle="1">
    <w:name w:val="Heading 5 Char"/>
    <w:basedOn w:val="744"/>
    <w:uiPriority w:val="9"/>
    <w:qFormat/>
    <w:rPr>
      <w:rFonts w:ascii="Arial" w:hAnsi="Arial" w:eastAsia="Arial" w:cs="Arial"/>
      <w:b/>
      <w:bCs/>
      <w:sz w:val="24"/>
      <w:szCs w:val="24"/>
    </w:rPr>
  </w:style>
  <w:style w:type="character" w:styleId="805" w:customStyle="1">
    <w:name w:val="Heading 6 Char"/>
    <w:basedOn w:val="744"/>
    <w:uiPriority w:val="9"/>
    <w:qFormat/>
    <w:rPr>
      <w:rFonts w:ascii="Arial" w:hAnsi="Arial" w:eastAsia="Arial" w:cs="Arial"/>
      <w:b/>
      <w:bCs/>
      <w:sz w:val="22"/>
      <w:szCs w:val="22"/>
    </w:rPr>
  </w:style>
  <w:style w:type="character" w:styleId="806" w:customStyle="1">
    <w:name w:val="Heading 7 Char"/>
    <w:basedOn w:val="744"/>
    <w:uiPriority w:val="9"/>
    <w:qFormat/>
    <w:rPr>
      <w:rFonts w:ascii="Arial" w:hAnsi="Arial" w:eastAsia="Arial" w:cs="Arial"/>
      <w:b/>
      <w:bCs/>
      <w:i/>
      <w:iCs/>
      <w:sz w:val="22"/>
      <w:szCs w:val="22"/>
    </w:rPr>
  </w:style>
  <w:style w:type="character" w:styleId="807" w:customStyle="1">
    <w:name w:val="Heading 8 Char"/>
    <w:basedOn w:val="744"/>
    <w:uiPriority w:val="9"/>
    <w:qFormat/>
    <w:rPr>
      <w:rFonts w:ascii="Arial" w:hAnsi="Arial" w:eastAsia="Arial" w:cs="Arial"/>
      <w:i/>
      <w:iCs/>
      <w:sz w:val="22"/>
      <w:szCs w:val="22"/>
    </w:rPr>
  </w:style>
  <w:style w:type="character" w:styleId="808" w:customStyle="1">
    <w:name w:val="Heading 9 Char"/>
    <w:basedOn w:val="744"/>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Calibri" w:hAnsi="Calibri" w:eastAsia="宋体" w:cs="Times New Roman"/>
    </w:rPr>
  </w:style>
  <w:style w:type="character" w:styleId="810" w:customStyle="1">
    <w:name w:val="Title Char"/>
    <w:basedOn w:val="744"/>
    <w:uiPriority w:val="10"/>
    <w:qFormat/>
    <w:rPr>
      <w:sz w:val="48"/>
      <w:szCs w:val="48"/>
    </w:rPr>
  </w:style>
  <w:style w:type="character" w:styleId="811" w:customStyle="1">
    <w:name w:val="Subtitle Char"/>
    <w:basedOn w:val="744"/>
    <w:uiPriority w:val="11"/>
    <w:qFormat/>
    <w:rPr>
      <w:sz w:val="24"/>
      <w:szCs w:val="24"/>
    </w:rPr>
  </w:style>
  <w:style w:type="paragraph" w:styleId="812">
    <w:name w:val="Quote"/>
    <w:basedOn w:val="734"/>
    <w:next w:val="734"/>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34"/>
    <w:next w:val="734"/>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Caption Char"/>
    <w:uiPriority w:val="99"/>
    <w:qFormat/>
  </w:style>
  <w:style w:type="table" w:styleId="817"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basedOn w:val="74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basedOn w:val="7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basedOn w:val="7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basedOn w:val="7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basedOn w:val="7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9" w:customStyle="1">
    <w:name w:val="Grid Table 6 Colorful - Accent 1"/>
    <w:basedOn w:val="74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0" w:customStyle="1">
    <w:name w:val="Grid Table 6 Colorful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1" w:customStyle="1">
    <w:name w:val="Grid Table 6 Colorful - Accent 3"/>
    <w:basedOn w:val="7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2" w:customStyle="1">
    <w:name w:val="Grid Table 6 Colorful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3" w:customStyle="1">
    <w:name w:val="Grid Table 6 Colorful - Accent 5"/>
    <w:basedOn w:val="7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4" w:customStyle="1">
    <w:name w:val="Grid Table 6 Colorful - Accent 6"/>
    <w:basedOn w:val="7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4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4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4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4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4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basedOn w:val="7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basedOn w:val="7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basedOn w:val="7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basedOn w:val="7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basedOn w:val="7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4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basedOn w:val="7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basedOn w:val="7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basedOn w:val="74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basedOn w:val="74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basedOn w:val="7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1" w:customStyle="1">
    <w:name w:val="List Table 5 Dark - Accent 1"/>
    <w:basedOn w:val="7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basedOn w:val="7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basedOn w:val="74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basedOn w:val="7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basedOn w:val="7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basedOn w:val="7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7"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8" w:customStyle="1">
    <w:name w:val="List Table 6 Colorful - Accent 1"/>
    <w:basedOn w:val="7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9" w:customStyle="1">
    <w:name w:val="List Table 6 Colorful - Accent 2"/>
    <w:basedOn w:val="74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0" w:customStyle="1">
    <w:name w:val="List Table 6 Colorful - Accent 3"/>
    <w:basedOn w:val="74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1" w:customStyle="1">
    <w:name w:val="List Table 6 Colorful - Accent 4"/>
    <w:basedOn w:val="7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2" w:customStyle="1">
    <w:name w:val="List Table 6 Colorful - Accent 5"/>
    <w:basedOn w:val="7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3" w:customStyle="1">
    <w:name w:val="List Table 6 Colorful - Accent 6"/>
    <w:basedOn w:val="74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4"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45"/>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45"/>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45"/>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4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basedOn w:val="74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basedOn w:val="7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basedOn w:val="7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basedOn w:val="7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basedOn w:val="7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uiPriority w:val="99"/>
    <w:qFormat/>
    <w:rPr>
      <w:sz w:val="18"/>
    </w:rPr>
  </w:style>
  <w:style w:type="character" w:styleId="943" w:customStyle="1">
    <w:name w:val="Endnote Text Char"/>
    <w:link w:val="767"/>
    <w:uiPriority w:val="99"/>
    <w:qFormat/>
    <w:rPr>
      <w:sz w:val="20"/>
    </w:rPr>
  </w:style>
  <w:style w:type="paragraph" w:styleId="944" w:customStyle="1">
    <w:name w:val="TOC Heading"/>
    <w:uiPriority w:val="39"/>
    <w:unhideWhenUsed/>
    <w:qFormat/>
    <w:rPr>
      <w:rFonts w:hint="default" w:ascii="Calibri" w:hAnsi="Calibri" w:eastAsia="宋体" w:cs="Times New Roman"/>
    </w:rPr>
  </w:style>
  <w:style w:type="paragraph" w:styleId="945" w:customStyle="1">
    <w:name w:val="首行缩进"/>
    <w:basedOn w:val="734"/>
    <w:uiPriority w:val="0"/>
    <w:qFormat/>
    <w:pPr>
      <w:ind w:firstLine="480"/>
    </w:pPr>
    <w:rPr>
      <w:lang w:val="zh-CN"/>
    </w:rPr>
  </w:style>
  <w:style w:type="character" w:styleId="946" w:customStyle="1">
    <w:name w:val="标题 1 Char"/>
    <w:link w:val="735"/>
    <w:uiPriority w:val="0"/>
    <w:qFormat/>
    <w:rPr>
      <w:rFonts w:eastAsia="宋体"/>
      <w:b/>
      <w:bCs/>
      <w:sz w:val="44"/>
      <w:szCs w:val="44"/>
      <w:lang w:val="en-US" w:eastAsia="zh-CN" w:bidi="ar-SA"/>
    </w:rPr>
  </w:style>
  <w:style w:type="character" w:styleId="947" w:customStyle="1">
    <w:name w:val="标题 2 Char"/>
    <w:link w:val="736"/>
    <w:uiPriority w:val="0"/>
    <w:semiHidden/>
    <w:qFormat/>
    <w:rPr>
      <w:rFonts w:ascii="Arial" w:hAnsi="Arial" w:eastAsia="黑体"/>
      <w:b/>
      <w:bCs/>
      <w:sz w:val="32"/>
      <w:szCs w:val="32"/>
      <w:lang w:val="en-US" w:eastAsia="zh-CN" w:bidi="ar-SA"/>
    </w:rPr>
  </w:style>
  <w:style w:type="character" w:styleId="948" w:customStyle="1">
    <w:name w:val="标题 3 Char2"/>
    <w:link w:val="737"/>
    <w:uiPriority w:val="0"/>
    <w:semiHidden/>
    <w:qFormat/>
    <w:rPr>
      <w:rFonts w:eastAsia="宋体"/>
      <w:b/>
      <w:bCs/>
      <w:sz w:val="32"/>
      <w:szCs w:val="32"/>
      <w:lang w:val="en-US" w:eastAsia="zh-CN" w:bidi="ar-SA"/>
    </w:rPr>
  </w:style>
  <w:style w:type="character" w:styleId="949" w:customStyle="1">
    <w:name w:val="标题 4 Char"/>
    <w:link w:val="738"/>
    <w:uiPriority w:val="0"/>
    <w:qFormat/>
    <w:rPr>
      <w:rFonts w:ascii="Arial" w:hAnsi="Arial" w:eastAsia="黑体"/>
      <w:b/>
      <w:sz w:val="28"/>
      <w:lang w:val="en-US" w:eastAsia="zh-CN" w:bidi="ar-SA"/>
    </w:rPr>
  </w:style>
  <w:style w:type="character" w:styleId="950" w:customStyle="1">
    <w:name w:val="标题 5 Char"/>
    <w:link w:val="739"/>
    <w:uiPriority w:val="0"/>
    <w:semiHidden/>
    <w:qFormat/>
    <w:rPr>
      <w:rFonts w:eastAsia="宋体"/>
      <w:b/>
      <w:bCs/>
      <w:sz w:val="28"/>
      <w:szCs w:val="28"/>
      <w:lang w:val="en-US" w:eastAsia="zh-CN" w:bidi="ar-SA"/>
    </w:rPr>
  </w:style>
  <w:style w:type="character" w:styleId="951" w:customStyle="1">
    <w:name w:val="标题 6 Char"/>
    <w:link w:val="740"/>
    <w:uiPriority w:val="0"/>
    <w:semiHidden/>
    <w:qFormat/>
    <w:rPr>
      <w:rFonts w:ascii="Arial" w:hAnsi="Arial" w:eastAsia="黑体"/>
      <w:b/>
      <w:bCs/>
      <w:sz w:val="24"/>
      <w:szCs w:val="24"/>
      <w:lang w:val="en-US" w:eastAsia="zh-CN" w:bidi="ar-SA"/>
    </w:rPr>
  </w:style>
  <w:style w:type="character" w:styleId="952" w:customStyle="1">
    <w:name w:val="标题 7 Char"/>
    <w:link w:val="741"/>
    <w:uiPriority w:val="0"/>
    <w:semiHidden/>
    <w:qFormat/>
    <w:rPr>
      <w:rFonts w:eastAsia="宋体"/>
      <w:b/>
      <w:bCs/>
      <w:sz w:val="24"/>
      <w:szCs w:val="24"/>
      <w:lang w:val="en-US" w:eastAsia="zh-CN" w:bidi="ar-SA"/>
    </w:rPr>
  </w:style>
  <w:style w:type="character" w:styleId="953" w:customStyle="1">
    <w:name w:val="文档结构图 Char"/>
    <w:link w:val="752"/>
    <w:uiPriority w:val="0"/>
    <w:semiHidden/>
    <w:qFormat/>
    <w:rPr>
      <w:rFonts w:eastAsia="宋体"/>
      <w:sz w:val="21"/>
      <w:szCs w:val="24"/>
      <w:lang w:val="en-US" w:eastAsia="zh-CN" w:bidi="ar-SA"/>
    </w:rPr>
  </w:style>
  <w:style w:type="character" w:styleId="954" w:customStyle="1">
    <w:name w:val="批注文字 Char"/>
    <w:link w:val="753"/>
    <w:uiPriority w:val="0"/>
    <w:qFormat/>
    <w:rPr>
      <w:rFonts w:eastAsia="宋体"/>
      <w:sz w:val="21"/>
      <w:lang w:val="en-US" w:eastAsia="zh-CN" w:bidi="ar-SA"/>
    </w:rPr>
  </w:style>
  <w:style w:type="character" w:styleId="955" w:customStyle="1">
    <w:name w:val="纯文本 Char"/>
    <w:link w:val="762"/>
    <w:uiPriority w:val="0"/>
    <w:qFormat/>
    <w:rPr>
      <w:rFonts w:ascii="宋体" w:hAnsi="Courier New" w:eastAsia="宋体"/>
      <w:sz w:val="21"/>
      <w:szCs w:val="21"/>
      <w:lang w:val="en-US" w:eastAsia="zh-CN" w:bidi="ar-SA"/>
    </w:rPr>
  </w:style>
  <w:style w:type="character" w:styleId="956" w:customStyle="1">
    <w:name w:val="批注框文本 Char"/>
    <w:link w:val="768"/>
    <w:uiPriority w:val="0"/>
    <w:semiHidden/>
    <w:qFormat/>
    <w:rPr>
      <w:rFonts w:eastAsia="宋体"/>
      <w:sz w:val="18"/>
      <w:szCs w:val="18"/>
      <w:lang w:val="en-US" w:eastAsia="zh-CN" w:bidi="ar-SA"/>
    </w:rPr>
  </w:style>
  <w:style w:type="character" w:styleId="957" w:customStyle="1">
    <w:name w:val="页脚 Char"/>
    <w:link w:val="769"/>
    <w:uiPriority w:val="0"/>
    <w:qFormat/>
    <w:rPr>
      <w:rFonts w:eastAsia="宋体"/>
      <w:sz w:val="18"/>
      <w:szCs w:val="18"/>
      <w:lang w:val="en-US" w:eastAsia="zh-CN" w:bidi="ar-SA"/>
    </w:rPr>
  </w:style>
  <w:style w:type="character" w:styleId="958" w:customStyle="1">
    <w:name w:val="页眉 Char"/>
    <w:link w:val="770"/>
    <w:uiPriority w:val="0"/>
    <w:qFormat/>
    <w:rPr>
      <w:rFonts w:eastAsia="宋体"/>
      <w:sz w:val="18"/>
      <w:szCs w:val="18"/>
      <w:lang w:val="en-US" w:eastAsia="zh-CN" w:bidi="ar-SA"/>
    </w:rPr>
  </w:style>
  <w:style w:type="character" w:styleId="959" w:customStyle="1">
    <w:name w:val="副标题 Char"/>
    <w:link w:val="776"/>
    <w:uiPriority w:val="0"/>
    <w:qFormat/>
    <w:rPr>
      <w:rFonts w:ascii="Cambria" w:hAnsi="Cambria" w:eastAsia="宋体"/>
      <w:caps/>
      <w:spacing w:val="20"/>
      <w:sz w:val="18"/>
      <w:szCs w:val="18"/>
      <w:lang w:val="en-US" w:eastAsia="en-US" w:bidi="en-US"/>
    </w:rPr>
  </w:style>
  <w:style w:type="character" w:styleId="960" w:customStyle="1">
    <w:name w:val="正文首行缩进 Char"/>
    <w:link w:val="787"/>
    <w:uiPriority w:val="0"/>
    <w:qFormat/>
    <w:rPr>
      <w:rFonts w:eastAsia="宋体"/>
      <w:sz w:val="21"/>
      <w:szCs w:val="24"/>
      <w:lang w:val="en-US" w:eastAsia="zh-CN" w:bidi="ar-SA"/>
    </w:rPr>
  </w:style>
  <w:style w:type="character" w:styleId="961" w:customStyle="1">
    <w:name w:val="标准文本 Char Char"/>
    <w:uiPriority w:val="0"/>
    <w:qFormat/>
    <w:rPr>
      <w:rFonts w:eastAsia="宋体" w:cs="宋体"/>
      <w:sz w:val="24"/>
      <w:szCs w:val="24"/>
      <w:lang w:val="en-US" w:eastAsia="zh-CN" w:bidi="ar-SA"/>
    </w:rPr>
  </w:style>
  <w:style w:type="character" w:styleId="962"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963" w:customStyle="1">
    <w:name w:val="Body text1"/>
    <w:uiPriority w:val="0"/>
    <w:qFormat/>
    <w:rPr>
      <w:rFonts w:ascii="宋体" w:hAnsi="宋体" w:eastAsia="宋体" w:cs="宋体"/>
      <w:color w:val="000000"/>
      <w:spacing w:val="0"/>
      <w:position w:val="0"/>
      <w:sz w:val="16"/>
      <w:szCs w:val="16"/>
      <w:lang w:val="zh-TW"/>
    </w:rPr>
  </w:style>
  <w:style w:type="character" w:styleId="964" w:customStyle="1">
    <w:name w:val="bds_more"/>
    <w:uiPriority w:val="0"/>
    <w:qFormat/>
    <w:rPr>
      <w:rFonts w:hint="eastAsia" w:ascii="宋体" w:hAnsi="宋体" w:eastAsia="宋体" w:cs="宋体"/>
    </w:rPr>
  </w:style>
  <w:style w:type="character" w:styleId="965" w:customStyle="1">
    <w:name w:val="bds_nopic"/>
    <w:basedOn w:val="744"/>
    <w:uiPriority w:val="0"/>
    <w:qFormat/>
  </w:style>
  <w:style w:type="character" w:styleId="966" w:customStyle="1">
    <w:name w:val="normalfont1"/>
    <w:uiPriority w:val="0"/>
    <w:qFormat/>
    <w:rPr>
      <w:rFonts w:hint="default" w:ascii="ˎ̥" w:hAnsi="ˎ̥"/>
      <w:sz w:val="18"/>
      <w:szCs w:val="18"/>
      <w:u w:val="none"/>
    </w:rPr>
  </w:style>
  <w:style w:type="character" w:styleId="967" w:customStyle="1">
    <w:name w:val="小四 段落 宋体 Char Char Char1"/>
    <w:uiPriority w:val="0"/>
    <w:qFormat/>
    <w:rPr>
      <w:rFonts w:ascii="宋体" w:hAnsi="宋体" w:eastAsia="宋体"/>
      <w:sz w:val="24"/>
      <w:szCs w:val="24"/>
      <w:lang w:val="en-US" w:eastAsia="zh-CN" w:bidi="ar-SA"/>
    </w:rPr>
  </w:style>
  <w:style w:type="character" w:styleId="968" w:customStyle="1">
    <w:name w:val="Body text (6) + Spacing 1 pt"/>
    <w:uiPriority w:val="0"/>
    <w:qFormat/>
    <w:rPr>
      <w:rFonts w:ascii="宋体" w:hAnsi="宋体" w:eastAsia="宋体" w:cs="宋体"/>
      <w:color w:val="000000"/>
      <w:spacing w:val="30"/>
      <w:position w:val="0"/>
      <w:sz w:val="19"/>
      <w:szCs w:val="19"/>
      <w:lang w:val="zh-TW"/>
    </w:rPr>
  </w:style>
  <w:style w:type="character" w:styleId="969" w:customStyle="1">
    <w:name w:val="标题 3 Char"/>
    <w:uiPriority w:val="0"/>
    <w:qFormat/>
    <w:rPr>
      <w:rFonts w:eastAsia="仿宋_GB2312"/>
      <w:b/>
      <w:bCs/>
      <w:sz w:val="28"/>
      <w:szCs w:val="32"/>
      <w:lang w:val="en-US" w:eastAsia="zh-CN" w:bidi="ar-SA"/>
    </w:rPr>
  </w:style>
  <w:style w:type="character" w:styleId="970" w:customStyle="1">
    <w:name w:val="h Char Char"/>
    <w:uiPriority w:val="0"/>
    <w:qFormat/>
    <w:rPr>
      <w:sz w:val="18"/>
      <w:szCs w:val="18"/>
    </w:rPr>
  </w:style>
  <w:style w:type="character" w:styleId="971" w:customStyle="1">
    <w:name w:val="2nd level Char"/>
    <w:uiPriority w:val="0"/>
    <w:qFormat/>
    <w:rPr>
      <w:rFonts w:ascii="Arial" w:hAnsi="Arial" w:eastAsia="黑体"/>
      <w:b/>
      <w:bCs/>
      <w:sz w:val="32"/>
      <w:szCs w:val="32"/>
      <w:lang w:val="en-US" w:eastAsia="zh-CN" w:bidi="ar-SA"/>
    </w:rPr>
  </w:style>
  <w:style w:type="character" w:styleId="972" w:customStyle="1">
    <w:name w:val="font91"/>
    <w:uiPriority w:val="0"/>
    <w:qFormat/>
    <w:rPr>
      <w:rFonts w:hint="default" w:ascii="仿宋_GB2312" w:eastAsia="仿宋_GB2312" w:cs="仿宋_GB2312"/>
      <w:b/>
      <w:color w:val="000000"/>
      <w:sz w:val="36"/>
      <w:szCs w:val="36"/>
      <w:u w:val="none"/>
    </w:rPr>
  </w:style>
  <w:style w:type="character" w:styleId="973" w:customStyle="1">
    <w:name w:val="bds_more1"/>
    <w:basedOn w:val="744"/>
    <w:uiPriority w:val="0"/>
    <w:qFormat/>
  </w:style>
  <w:style w:type="character" w:styleId="974" w:customStyle="1">
    <w:name w:val="font51"/>
    <w:uiPriority w:val="0"/>
    <w:qFormat/>
    <w:rPr>
      <w:rFonts w:ascii="仿宋_GB2312" w:eastAsia="仿宋_GB2312" w:cs="仿宋_GB2312"/>
      <w:color w:val="000000"/>
      <w:sz w:val="48"/>
      <w:szCs w:val="48"/>
      <w:u w:val="none"/>
    </w:rPr>
  </w:style>
  <w:style w:type="character" w:styleId="975" w:customStyle="1">
    <w:name w:val="无间隔 Char"/>
    <w:link w:val="976"/>
    <w:uiPriority w:val="0"/>
    <w:qFormat/>
    <w:rPr>
      <w:rFonts w:eastAsia="微软雅黑"/>
      <w:sz w:val="24"/>
      <w:szCs w:val="22"/>
      <w:lang w:val="en-US" w:eastAsia="zh-CN" w:bidi="ar-SA"/>
    </w:rPr>
  </w:style>
  <w:style w:type="paragraph" w:styleId="976" w:customStyle="1">
    <w:name w:val="无间隔1"/>
    <w:link w:val="975"/>
    <w:uiPriority w:val="0"/>
    <w:qFormat/>
    <w:pPr>
      <w:jc w:val="both"/>
      <w:widowControl w:val="off"/>
    </w:pPr>
    <w:rPr>
      <w:rFonts w:hint="default" w:ascii="Calibri" w:hAnsi="Calibri" w:eastAsia="微软雅黑" w:cs="Times New Roman"/>
      <w:sz w:val="24"/>
      <w:szCs w:val="22"/>
    </w:rPr>
  </w:style>
  <w:style w:type="character" w:styleId="977" w:customStyle="1">
    <w:name w:val="font01"/>
    <w:uiPriority w:val="0"/>
    <w:qFormat/>
    <w:rPr>
      <w:rFonts w:ascii="仿宋_GB2312" w:eastAsia="仿宋_GB2312" w:cs="仿宋_GB2312"/>
      <w:color w:val="000000"/>
      <w:sz w:val="36"/>
      <w:szCs w:val="36"/>
      <w:u w:val="none"/>
    </w:rPr>
  </w:style>
  <w:style w:type="character" w:styleId="978" w:customStyle="1">
    <w:name w:val="Body text + 7.5 pt2"/>
    <w:uiPriority w:val="0"/>
    <w:qFormat/>
    <w:rPr>
      <w:rFonts w:ascii="宋体" w:hAnsi="宋体" w:eastAsia="宋体" w:cs="宋体"/>
      <w:color w:val="000000"/>
      <w:spacing w:val="-30"/>
      <w:position w:val="0"/>
      <w:sz w:val="15"/>
      <w:szCs w:val="15"/>
      <w:lang w:val="en-US"/>
    </w:rPr>
  </w:style>
  <w:style w:type="character" w:styleId="979" w:customStyle="1">
    <w:name w:val="Body text + 8.5 pt"/>
    <w:uiPriority w:val="0"/>
    <w:qFormat/>
    <w:rPr>
      <w:rFonts w:ascii="宋体" w:hAnsi="宋体" w:eastAsia="宋体" w:cs="宋体"/>
      <w:i/>
      <w:iCs/>
      <w:color w:val="000000"/>
      <w:spacing w:val="0"/>
      <w:position w:val="0"/>
      <w:sz w:val="17"/>
      <w:szCs w:val="17"/>
    </w:rPr>
  </w:style>
  <w:style w:type="character" w:styleId="980" w:customStyle="1">
    <w:name w:val="标准小四 Char Char"/>
    <w:uiPriority w:val="0"/>
    <w:qFormat/>
    <w:rPr>
      <w:rFonts w:ascii="Arial" w:hAnsi="Arial" w:eastAsia="宋体"/>
      <w:sz w:val="24"/>
      <w:szCs w:val="21"/>
      <w:lang w:val="en-US" w:eastAsia="zh-CN" w:bidi="ar-SA"/>
    </w:rPr>
  </w:style>
  <w:style w:type="character" w:styleId="981" w:customStyle="1">
    <w:name w:val="Footer Char"/>
    <w:uiPriority w:val="0"/>
    <w:qFormat/>
    <w:rPr>
      <w:rFonts w:cs="Times New Roman"/>
      <w:sz w:val="18"/>
      <w:szCs w:val="18"/>
    </w:rPr>
  </w:style>
  <w:style w:type="character" w:styleId="982" w:customStyle="1">
    <w:name w:val="Table caption (2)"/>
    <w:uiPriority w:val="0"/>
    <w:qFormat/>
    <w:rPr>
      <w:rFonts w:ascii="宋体" w:hAnsi="宋体" w:eastAsia="宋体" w:cs="宋体"/>
      <w:color w:val="000000"/>
      <w:spacing w:val="0"/>
      <w:position w:val="0"/>
      <w:sz w:val="19"/>
      <w:szCs w:val="19"/>
      <w:lang w:val="zh-TW"/>
    </w:rPr>
  </w:style>
  <w:style w:type="character" w:styleId="983" w:customStyle="1">
    <w:name w:val="Char Char2"/>
    <w:uiPriority w:val="0"/>
    <w:qFormat/>
    <w:rPr>
      <w:rFonts w:ascii="宋体" w:hAnsi="Courier New" w:eastAsia="宋体"/>
      <w:sz w:val="21"/>
      <w:szCs w:val="21"/>
      <w:lang w:val="en-US" w:eastAsia="zh-CN" w:bidi="ar-SA"/>
    </w:rPr>
  </w:style>
  <w:style w:type="character" w:styleId="984" w:customStyle="1">
    <w:name w:val="小四 段落 宋体 Char Char Char Char Char Char Char Char"/>
    <w:uiPriority w:val="0"/>
    <w:qFormat/>
    <w:rPr>
      <w:rFonts w:eastAsia="宋体"/>
      <w:sz w:val="24"/>
      <w:szCs w:val="24"/>
      <w:lang w:val="en-US" w:eastAsia="zh-CN" w:bidi="ar-SA"/>
    </w:rPr>
  </w:style>
  <w:style w:type="character" w:styleId="985" w:customStyle="1">
    <w:name w:val="1page sec3 Char"/>
    <w:uiPriority w:val="0"/>
    <w:qFormat/>
    <w:rPr>
      <w:rFonts w:eastAsia="宋体"/>
      <w:sz w:val="18"/>
      <w:lang w:val="en-US" w:eastAsia="zh-CN"/>
    </w:rPr>
  </w:style>
  <w:style w:type="character" w:styleId="986" w:customStyle="1">
    <w:name w:val="标题 3 Char1"/>
    <w:uiPriority w:val="0"/>
    <w:qFormat/>
    <w:rPr>
      <w:rFonts w:eastAsia="宋体"/>
      <w:b/>
      <w:bCs/>
      <w:sz w:val="32"/>
      <w:szCs w:val="32"/>
      <w:lang w:val="en-US" w:eastAsia="zh-CN" w:bidi="ar-SA"/>
    </w:rPr>
  </w:style>
  <w:style w:type="character" w:styleId="987" w:customStyle="1">
    <w:name w:val="样式 首行缩进:  2 字符 Char Char"/>
    <w:link w:val="988"/>
    <w:uiPriority w:val="0"/>
    <w:qFormat/>
    <w:rPr>
      <w:rFonts w:eastAsia="宋体" w:cs="宋体"/>
      <w:sz w:val="24"/>
      <w:lang w:val="en-US" w:eastAsia="zh-CN" w:bidi="ar-SA"/>
    </w:rPr>
  </w:style>
  <w:style w:type="paragraph" w:styleId="988" w:customStyle="1">
    <w:name w:val="样式 首行缩进:  2 字符"/>
    <w:basedOn w:val="734"/>
    <w:link w:val="987"/>
    <w:uiPriority w:val="0"/>
    <w:qFormat/>
    <w:pPr>
      <w:ind w:firstLine="480"/>
      <w:spacing w:line="360" w:lineRule="auto"/>
    </w:pPr>
    <w:rPr>
      <w:rFonts w:cs="宋体"/>
      <w:sz w:val="24"/>
      <w:szCs w:val="20"/>
    </w:rPr>
  </w:style>
  <w:style w:type="character" w:styleId="989" w:customStyle="1">
    <w:name w:val="sect1.2.3 Char1"/>
    <w:uiPriority w:val="0"/>
    <w:qFormat/>
    <w:rPr>
      <w:rFonts w:eastAsia="宋体"/>
      <w:b/>
      <w:bCs/>
      <w:sz w:val="32"/>
      <w:szCs w:val="32"/>
      <w:lang w:val="en-US" w:eastAsia="zh-CN" w:bidi="ar-SA"/>
    </w:rPr>
  </w:style>
  <w:style w:type="character" w:styleId="990" w:customStyle="1">
    <w:name w:val="bds_nopic2"/>
    <w:basedOn w:val="744"/>
    <w:uiPriority w:val="0"/>
    <w:qFormat/>
  </w:style>
  <w:style w:type="character" w:styleId="991" w:customStyle="1">
    <w:name w:val="Title1 Char"/>
    <w:uiPriority w:val="0"/>
    <w:qFormat/>
    <w:rPr>
      <w:rFonts w:eastAsia="宋体"/>
      <w:b/>
      <w:bCs/>
      <w:sz w:val="44"/>
      <w:szCs w:val="44"/>
      <w:lang w:val="en-US" w:eastAsia="zh-CN" w:bidi="ar-SA"/>
    </w:rPr>
  </w:style>
  <w:style w:type="character" w:styleId="992" w:customStyle="1">
    <w:name w:val="1page sec3 Char1"/>
    <w:uiPriority w:val="0"/>
    <w:qFormat/>
    <w:rPr>
      <w:sz w:val="18"/>
      <w:szCs w:val="18"/>
    </w:rPr>
  </w:style>
  <w:style w:type="character" w:styleId="993" w:customStyle="1">
    <w:name w:val="明显引用 Char"/>
    <w:link w:val="994"/>
    <w:uiPriority w:val="0"/>
    <w:qFormat/>
    <w:rPr>
      <w:rFonts w:ascii="Cambria" w:hAnsi="Cambria" w:eastAsia="宋体"/>
      <w:caps/>
      <w:color w:val="622423"/>
      <w:spacing w:val="5"/>
      <w:lang w:val="en-US" w:eastAsia="en-US" w:bidi="en-US"/>
    </w:rPr>
  </w:style>
  <w:style w:type="paragraph" w:styleId="994" w:customStyle="1">
    <w:name w:val="明显引用1"/>
    <w:basedOn w:val="734"/>
    <w:next w:val="734"/>
    <w:link w:val="993"/>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95" w:customStyle="1">
    <w:name w:val="font21"/>
    <w:uiPriority w:val="0"/>
    <w:qFormat/>
    <w:rPr>
      <w:rFonts w:hint="default" w:ascii="仿宋_GB2312" w:eastAsia="仿宋_GB2312" w:cs="仿宋_GB2312"/>
      <w:b/>
      <w:color w:val="000000"/>
      <w:sz w:val="24"/>
      <w:szCs w:val="24"/>
      <w:u w:val="none"/>
    </w:rPr>
  </w:style>
  <w:style w:type="character" w:styleId="996" w:customStyle="1">
    <w:name w:val="3zw"/>
    <w:basedOn w:val="744"/>
    <w:uiPriority w:val="0"/>
    <w:qFormat/>
  </w:style>
  <w:style w:type="character" w:styleId="997" w:customStyle="1">
    <w:name w:val="Body text (6) + 10 pt1"/>
    <w:uiPriority w:val="0"/>
    <w:qFormat/>
    <w:rPr>
      <w:rFonts w:ascii="宋体" w:hAnsi="宋体" w:eastAsia="宋体" w:cs="宋体"/>
      <w:color w:val="000000"/>
      <w:spacing w:val="0"/>
      <w:position w:val="0"/>
      <w:sz w:val="20"/>
      <w:szCs w:val="20"/>
      <w:lang w:val="en-US"/>
    </w:rPr>
  </w:style>
  <w:style w:type="character" w:styleId="998" w:customStyle="1">
    <w:name w:val="正文缩进 Char1"/>
    <w:link w:val="999"/>
    <w:uiPriority w:val="0"/>
    <w:qFormat/>
    <w:rPr>
      <w:rFonts w:eastAsia="宋体"/>
      <w:lang w:bidi="ar-SA"/>
    </w:rPr>
  </w:style>
  <w:style w:type="paragraph" w:styleId="999" w:customStyle="1">
    <w:name w:val="正文缩进1"/>
    <w:basedOn w:val="734"/>
    <w:link w:val="998"/>
    <w:uiPriority w:val="0"/>
    <w:qFormat/>
    <w:pPr>
      <w:ind w:firstLine="420"/>
    </w:pPr>
    <w:rPr>
      <w:sz w:val="20"/>
      <w:szCs w:val="20"/>
    </w:rPr>
  </w:style>
  <w:style w:type="character" w:styleId="1000" w:customStyle="1">
    <w:name w:val="font61"/>
    <w:uiPriority w:val="0"/>
    <w:qFormat/>
    <w:rPr>
      <w:rFonts w:hint="default" w:ascii="仿宋_GB2312" w:eastAsia="仿宋_GB2312" w:cs="仿宋_GB2312"/>
      <w:b/>
      <w:color w:val="000000"/>
      <w:sz w:val="28"/>
      <w:szCs w:val="28"/>
      <w:u w:val="none"/>
    </w:rPr>
  </w:style>
  <w:style w:type="character" w:styleId="1001" w:customStyle="1">
    <w:name w:val="Heading 2 Char"/>
    <w:uiPriority w:val="0"/>
    <w:qFormat/>
    <w:rPr>
      <w:rFonts w:ascii="Calibri Light" w:hAnsi="Calibri Light" w:eastAsia="宋体" w:cs="Times New Roman"/>
      <w:b/>
      <w:bCs/>
      <w:sz w:val="32"/>
      <w:szCs w:val="32"/>
    </w:rPr>
  </w:style>
  <w:style w:type="character" w:styleId="1002" w:customStyle="1">
    <w:name w:val="H2 Char1"/>
    <w:uiPriority w:val="0"/>
    <w:qFormat/>
    <w:rPr>
      <w:rFonts w:ascii="Arial" w:hAnsi="Arial" w:eastAsia="黑体"/>
      <w:b/>
      <w:bCs/>
      <w:sz w:val="32"/>
      <w:szCs w:val="32"/>
      <w:lang w:val="en-US" w:eastAsia="zh-CN" w:bidi="ar-SA"/>
    </w:rPr>
  </w:style>
  <w:style w:type="character" w:styleId="1003" w:customStyle="1">
    <w:name w:val="Body text (6)"/>
    <w:uiPriority w:val="0"/>
    <w:qFormat/>
    <w:rPr>
      <w:rFonts w:ascii="宋体" w:hAnsi="宋体" w:eastAsia="宋体" w:cs="宋体"/>
      <w:color w:val="000000"/>
      <w:spacing w:val="0"/>
      <w:position w:val="0"/>
      <w:sz w:val="19"/>
      <w:szCs w:val="19"/>
      <w:u w:val="single"/>
      <w:lang w:val="zh-TW"/>
    </w:rPr>
  </w:style>
  <w:style w:type="character" w:styleId="1004"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05" w:customStyle="1">
    <w:name w:val="bds_more2"/>
    <w:basedOn w:val="744"/>
    <w:uiPriority w:val="0"/>
    <w:qFormat/>
  </w:style>
  <w:style w:type="character" w:styleId="1006" w:customStyle="1">
    <w:name w:val="content_lineheight1"/>
    <w:basedOn w:val="744"/>
    <w:uiPriority w:val="0"/>
    <w:qFormat/>
  </w:style>
  <w:style w:type="character" w:styleId="1007" w:customStyle="1">
    <w:name w:val="apple-style-span"/>
    <w:basedOn w:val="744"/>
    <w:uiPriority w:val="0"/>
    <w:qFormat/>
  </w:style>
  <w:style w:type="character" w:styleId="1008" w:customStyle="1">
    <w:name w:val="bds_nopic1"/>
    <w:basedOn w:val="744"/>
    <w:uiPriority w:val="0"/>
    <w:qFormat/>
  </w:style>
  <w:style w:type="character" w:styleId="1009" w:customStyle="1">
    <w:name w:val="样式 宋体"/>
    <w:uiPriority w:val="0"/>
    <w:qFormat/>
    <w:rPr>
      <w:rFonts w:ascii="宋体" w:hAnsi="宋体" w:eastAsia="宋体"/>
      <w:sz w:val="24"/>
      <w:szCs w:val="24"/>
    </w:rPr>
  </w:style>
  <w:style w:type="character" w:styleId="1010" w:customStyle="1">
    <w:name w:val="t1"/>
    <w:uiPriority w:val="0"/>
    <w:qFormat/>
  </w:style>
  <w:style w:type="character" w:styleId="1011" w:customStyle="1">
    <w:name w:val="样式 宋体 小四"/>
    <w:uiPriority w:val="0"/>
    <w:qFormat/>
    <w:rPr>
      <w:rFonts w:ascii="宋体" w:hAnsi="宋体"/>
      <w:sz w:val="24"/>
    </w:rPr>
  </w:style>
  <w:style w:type="character" w:styleId="1012" w:customStyle="1">
    <w:name w:val="font81"/>
    <w:uiPriority w:val="0"/>
    <w:qFormat/>
    <w:rPr>
      <w:rFonts w:hint="eastAsia" w:ascii="仿宋" w:hAnsi="仿宋" w:eastAsia="仿宋" w:cs="仿宋"/>
      <w:color w:val="000000"/>
      <w:sz w:val="21"/>
      <w:szCs w:val="21"/>
      <w:u w:val="none"/>
    </w:rPr>
  </w:style>
  <w:style w:type="character" w:styleId="1013" w:customStyle="1">
    <w:name w:val="Body text (6)_"/>
    <w:link w:val="1014"/>
    <w:uiPriority w:val="0"/>
    <w:qFormat/>
    <w:rPr>
      <w:rFonts w:ascii="宋体" w:hAnsi="宋体" w:eastAsia="宋体" w:cs="宋体"/>
      <w:sz w:val="19"/>
      <w:szCs w:val="19"/>
    </w:rPr>
  </w:style>
  <w:style w:type="paragraph" w:styleId="1014" w:customStyle="1">
    <w:name w:val="Body text (6)1"/>
    <w:basedOn w:val="734"/>
    <w:link w:val="1013"/>
    <w:uiPriority w:val="0"/>
    <w:qFormat/>
    <w:pPr>
      <w:ind w:hanging="420"/>
      <w:jc w:val="both"/>
      <w:spacing w:line="408" w:lineRule="exact"/>
      <w:shd w:val="clear" w:color="auto" w:fill="ffffff"/>
    </w:pPr>
    <w:rPr>
      <w:rFonts w:ascii="宋体" w:hAnsi="宋体"/>
      <w:sz w:val="19"/>
      <w:szCs w:val="19"/>
    </w:rPr>
  </w:style>
  <w:style w:type="character" w:styleId="1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6" w:customStyle="1">
    <w:name w:val="Header Char"/>
    <w:uiPriority w:val="0"/>
    <w:qFormat/>
    <w:rPr>
      <w:rFonts w:cs="Times New Roman"/>
      <w:sz w:val="18"/>
      <w:szCs w:val="18"/>
    </w:rPr>
  </w:style>
  <w:style w:type="character" w:styleId="1017" w:customStyle="1">
    <w:name w:val="小四 段落 宋体 Char Char Char Char1"/>
    <w:uiPriority w:val="0"/>
    <w:qFormat/>
    <w:rPr>
      <w:rFonts w:eastAsia="宋体"/>
      <w:sz w:val="24"/>
      <w:szCs w:val="24"/>
      <w:lang w:val="en-US" w:eastAsia="zh-CN" w:bidi="ar-SA"/>
    </w:rPr>
  </w:style>
  <w:style w:type="character" w:styleId="1018" w:customStyle="1">
    <w:name w:val="subtitle1"/>
    <w:uiPriority w:val="0"/>
    <w:qFormat/>
    <w:rPr>
      <w:rFonts w:hint="default" w:ascii="Georgia" w:hAnsi="Georgia"/>
      <w:b/>
      <w:bCs/>
      <w:color w:val="666666"/>
      <w:sz w:val="18"/>
      <w:szCs w:val="18"/>
    </w:rPr>
  </w:style>
  <w:style w:type="character" w:styleId="1019" w:customStyle="1">
    <w:name w:val="Table caption (2)_"/>
    <w:link w:val="1020"/>
    <w:uiPriority w:val="0"/>
    <w:qFormat/>
    <w:rPr>
      <w:rFonts w:ascii="宋体" w:hAnsi="宋体" w:eastAsia="宋体" w:cs="宋体"/>
      <w:sz w:val="19"/>
      <w:szCs w:val="19"/>
    </w:rPr>
  </w:style>
  <w:style w:type="paragraph" w:styleId="1020" w:customStyle="1">
    <w:name w:val="Table caption (2)1"/>
    <w:basedOn w:val="734"/>
    <w:link w:val="1019"/>
    <w:uiPriority w:val="0"/>
    <w:qFormat/>
    <w:pPr>
      <w:spacing w:line="0" w:lineRule="atLeast"/>
      <w:shd w:val="clear" w:color="auto" w:fill="ffffff"/>
    </w:pPr>
    <w:rPr>
      <w:rFonts w:ascii="宋体" w:hAnsi="宋体"/>
      <w:sz w:val="19"/>
      <w:szCs w:val="19"/>
    </w:rPr>
  </w:style>
  <w:style w:type="character" w:styleId="1021" w:customStyle="1">
    <w:name w:val="font11"/>
    <w:uiPriority w:val="0"/>
    <w:qFormat/>
    <w:rPr>
      <w:rFonts w:ascii="仿宋_GB2312" w:eastAsia="仿宋_GB2312" w:cs="仿宋_GB2312"/>
      <w:color w:val="000000"/>
      <w:sz w:val="24"/>
      <w:szCs w:val="24"/>
      <w:u w:val="none"/>
    </w:rPr>
  </w:style>
  <w:style w:type="character" w:styleId="1022" w:customStyle="1">
    <w:name w:val="特点 Char1"/>
    <w:uiPriority w:val="0"/>
    <w:qFormat/>
    <w:rPr>
      <w:rFonts w:eastAsia="宋体"/>
      <w:sz w:val="21"/>
      <w:lang w:val="en-US" w:eastAsia="zh-CN" w:bidi="ar-SA"/>
    </w:rPr>
  </w:style>
  <w:style w:type="character" w:styleId="1023"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24" w:customStyle="1">
    <w:name w:val="style131"/>
    <w:uiPriority w:val="0"/>
    <w:qFormat/>
    <w:rPr>
      <w:rFonts w:cs="Times New Roman"/>
      <w:sz w:val="18"/>
      <w:szCs w:val="18"/>
    </w:rPr>
  </w:style>
  <w:style w:type="character" w:styleId="1025" w:customStyle="1">
    <w:name w:val="Body text_"/>
    <w:link w:val="1026"/>
    <w:uiPriority w:val="0"/>
    <w:qFormat/>
    <w:rPr>
      <w:rFonts w:ascii="宋体" w:hAnsi="宋体" w:eastAsia="宋体" w:cs="宋体"/>
      <w:sz w:val="16"/>
      <w:szCs w:val="16"/>
    </w:rPr>
  </w:style>
  <w:style w:type="paragraph" w:styleId="1026" w:customStyle="1">
    <w:name w:val="Body text3"/>
    <w:basedOn w:val="734"/>
    <w:link w:val="1025"/>
    <w:uiPriority w:val="0"/>
    <w:qFormat/>
    <w:pPr>
      <w:jc w:val="both"/>
      <w:spacing w:before="300" w:line="360" w:lineRule="exact"/>
      <w:shd w:val="clear" w:color="auto" w:fill="ffffff"/>
    </w:pPr>
    <w:rPr>
      <w:rFonts w:ascii="宋体" w:hAnsi="宋体"/>
      <w:sz w:val="16"/>
      <w:szCs w:val="16"/>
    </w:rPr>
  </w:style>
  <w:style w:type="character" w:styleId="1027" w:customStyle="1">
    <w:name w:val="Heading 1 Char"/>
    <w:uiPriority w:val="0"/>
    <w:qFormat/>
    <w:rPr>
      <w:rFonts w:ascii="Times New Roman" w:hAnsi="Times New Roman" w:eastAsia="宋体" w:cs="Times New Roman"/>
      <w:b/>
      <w:bCs/>
      <w:sz w:val="44"/>
      <w:szCs w:val="44"/>
    </w:rPr>
  </w:style>
  <w:style w:type="character" w:styleId="1028" w:customStyle="1">
    <w:name w:val="引用 Char"/>
    <w:link w:val="1029"/>
    <w:uiPriority w:val="0"/>
    <w:qFormat/>
    <w:rPr>
      <w:rFonts w:ascii="Cambria" w:hAnsi="Cambria" w:eastAsia="宋体"/>
      <w:i/>
      <w:iCs/>
      <w:sz w:val="22"/>
      <w:szCs w:val="22"/>
      <w:lang w:val="en-US" w:eastAsia="en-US" w:bidi="en-US"/>
    </w:rPr>
  </w:style>
  <w:style w:type="paragraph" w:styleId="1029" w:customStyle="1">
    <w:name w:val="引用1"/>
    <w:basedOn w:val="734"/>
    <w:next w:val="734"/>
    <w:link w:val="1028"/>
    <w:uiPriority w:val="0"/>
    <w:qFormat/>
    <w:pPr>
      <w:jc w:val="left"/>
      <w:spacing w:after="200" w:line="252" w:lineRule="auto"/>
      <w:widowControl/>
    </w:pPr>
    <w:rPr>
      <w:rFonts w:ascii="Cambria" w:hAnsi="Cambria"/>
      <w:i/>
      <w:iCs/>
      <w:sz w:val="22"/>
      <w:szCs w:val="22"/>
      <w:lang w:eastAsia="en-US" w:bidi="en-US"/>
    </w:rPr>
  </w:style>
  <w:style w:type="character" w:styleId="1030" w:customStyle="1">
    <w:name w:val="font31"/>
    <w:uiPriority w:val="0"/>
    <w:qFormat/>
    <w:rPr>
      <w:rFonts w:hint="default" w:ascii="仿宋_GB2312" w:eastAsia="仿宋_GB2312" w:cs="仿宋_GB2312"/>
      <w:color w:val="000000"/>
      <w:sz w:val="36"/>
      <w:szCs w:val="36"/>
      <w:u w:val="none"/>
    </w:rPr>
  </w:style>
  <w:style w:type="character" w:styleId="1031" w:customStyle="1">
    <w:name w:val="华宇段落1 Char Char Char"/>
    <w:uiPriority w:val="0"/>
    <w:qFormat/>
    <w:rPr>
      <w:rFonts w:eastAsia="宋体"/>
      <w:bCs/>
      <w:sz w:val="24"/>
      <w:szCs w:val="24"/>
      <w:lang w:val="en-US" w:eastAsia="zh-CN" w:bidi="ar-SA"/>
    </w:rPr>
  </w:style>
  <w:style w:type="character" w:styleId="1032" w:customStyle="1">
    <w:name w:val="textcontents"/>
    <w:basedOn w:val="744"/>
    <w:uiPriority w:val="0"/>
    <w:qFormat/>
  </w:style>
  <w:style w:type="character" w:styleId="1033" w:customStyle="1">
    <w:name w:val="1page sec3 Char2"/>
    <w:uiPriority w:val="0"/>
    <w:qFormat/>
    <w:rPr>
      <w:rFonts w:eastAsia="宋体"/>
      <w:sz w:val="18"/>
      <w:szCs w:val="18"/>
      <w:lang w:val="en-US" w:eastAsia="zh-CN" w:bidi="ar-SA"/>
    </w:rPr>
  </w:style>
  <w:style w:type="character" w:styleId="1034" w:customStyle="1">
    <w:name w:val="Body text + 7.5 pt1"/>
    <w:uiPriority w:val="0"/>
    <w:qFormat/>
    <w:rPr>
      <w:rFonts w:ascii="宋体" w:hAnsi="宋体" w:eastAsia="宋体" w:cs="宋体"/>
      <w:color w:val="000000"/>
      <w:spacing w:val="0"/>
      <w:position w:val="0"/>
      <w:sz w:val="15"/>
      <w:szCs w:val="15"/>
      <w:lang w:val="en-US"/>
    </w:rPr>
  </w:style>
  <w:style w:type="character" w:styleId="1035" w:customStyle="1">
    <w:name w:val="小四 段落 宋体 Char1"/>
    <w:uiPriority w:val="0"/>
    <w:qFormat/>
    <w:rPr>
      <w:rFonts w:eastAsia="宋体"/>
      <w:sz w:val="24"/>
      <w:szCs w:val="24"/>
      <w:lang w:val="en-US" w:eastAsia="zh-CN" w:bidi="ar-SA"/>
    </w:rPr>
  </w:style>
  <w:style w:type="character" w:styleId="1036" w:customStyle="1">
    <w:name w:val="ih151"/>
    <w:uiPriority w:val="0"/>
    <w:qFormat/>
    <w:rPr>
      <w:color w:val="666666"/>
      <w:sz w:val="18"/>
      <w:szCs w:val="18"/>
      <w:u w:val="none"/>
    </w:rPr>
  </w:style>
  <w:style w:type="character" w:styleId="1037" w:customStyle="1">
    <w:name w:val="正文 + 宋体 Char"/>
    <w:uiPriority w:val="0"/>
    <w:qFormat/>
    <w:rPr>
      <w:rFonts w:eastAsia="宋体"/>
      <w:sz w:val="21"/>
      <w:szCs w:val="24"/>
      <w:lang w:val="en-US" w:eastAsia="zh-CN" w:bidi="ar-SA"/>
    </w:rPr>
  </w:style>
  <w:style w:type="paragraph" w:styleId="1038" w:customStyle="1">
    <w:name w:val="项目符号：一级"/>
    <w:basedOn w:val="1039"/>
    <w:next w:val="1039"/>
    <w:uiPriority w:val="0"/>
    <w:qFormat/>
    <w:pPr>
      <w:ind w:right="-134"/>
    </w:pPr>
    <w:rPr>
      <w:bCs w:val="0"/>
    </w:rPr>
  </w:style>
  <w:style w:type="paragraph" w:styleId="1039" w:customStyle="1">
    <w:name w:val="正文格式"/>
    <w:basedOn w:val="734"/>
    <w:uiPriority w:val="0"/>
    <w:qFormat/>
    <w:pPr>
      <w:ind w:left="178" w:right="44" w:hanging="178"/>
      <w:jc w:val="left"/>
      <w:spacing w:line="360" w:lineRule="auto"/>
      <w:widowControl/>
    </w:pPr>
    <w:rPr>
      <w:rFonts w:ascii="宋体" w:hAnsi="宋体"/>
      <w:bCs/>
      <w:szCs w:val="21"/>
    </w:rPr>
  </w:style>
  <w:style w:type="paragraph" w:styleId="1040" w:customStyle="1">
    <w:name w:val="CD 正文"/>
    <w:basedOn w:val="734"/>
    <w:uiPriority w:val="0"/>
    <w:qFormat/>
    <w:pPr>
      <w:jc w:val="left"/>
    </w:pPr>
    <w:rPr>
      <w:rFonts w:ascii="Arial" w:hAnsi="Arial" w:eastAsia="微软雅黑"/>
    </w:rPr>
  </w:style>
  <w:style w:type="paragraph" w:styleId="1041" w:customStyle="1">
    <w:name w:val="默认段落字体 Para Char Char Char Char Char Char Char"/>
    <w:basedOn w:val="734"/>
    <w:uiPriority w:val="0"/>
    <w:qFormat/>
    <w:rPr>
      <w:rFonts w:ascii="Tahoma" w:hAnsi="Tahoma"/>
      <w:sz w:val="24"/>
      <w:szCs w:val="20"/>
    </w:rPr>
  </w:style>
  <w:style w:type="paragraph" w:styleId="1042" w:customStyle="1">
    <w:name w:val="样式 标题 3H32nd Subheadl3CTh3Level 3 Headlevel_3PIM 3Headi...2"/>
    <w:basedOn w:val="737"/>
    <w:uiPriority w:val="0"/>
    <w:qFormat/>
    <w:pPr>
      <w:ind w:left="709" w:hanging="709"/>
      <w:jc w:val="left"/>
      <w:spacing w:after="120" w:line="360" w:lineRule="auto"/>
      <w:tabs>
        <w:tab w:val="left" w:pos="709" w:leader="none"/>
      </w:tabs>
    </w:pPr>
    <w:rPr>
      <w:rFonts w:cs="宋体"/>
      <w:sz w:val="30"/>
      <w:szCs w:val="20"/>
    </w:rPr>
  </w:style>
  <w:style w:type="paragraph" w:styleId="1043" w:customStyle="1">
    <w:name w:val="xl38"/>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4" w:customStyle="1">
    <w:name w:val="p0"/>
    <w:basedOn w:val="734"/>
    <w:uiPriority w:val="0"/>
    <w:qFormat/>
    <w:pPr>
      <w:widowControl/>
    </w:pPr>
    <w:rPr>
      <w:szCs w:val="21"/>
    </w:rPr>
  </w:style>
  <w:style w:type="paragraph" w:styleId="1045" w:customStyle="1">
    <w:name w:val="xl33"/>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6" w:customStyle="1">
    <w:name w:val="项目符号，一级"/>
    <w:basedOn w:val="1039"/>
    <w:next w:val="1039"/>
    <w:uiPriority w:val="0"/>
    <w:qFormat/>
    <w:pPr>
      <w:ind w:left="376" w:firstLine="0"/>
      <w:spacing w:line="240" w:lineRule="atLeast"/>
      <w:tabs>
        <w:tab w:val="left" w:pos="1320" w:leader="none"/>
      </w:tabs>
    </w:pPr>
    <w:rPr>
      <w:bCs w:val="0"/>
      <w:color w:val="000000"/>
      <w:szCs w:val="24"/>
    </w:rPr>
  </w:style>
  <w:style w:type="paragraph" w:styleId="1047" w:customStyle="1">
    <w:name w:val="二级条标题"/>
    <w:basedOn w:val="734"/>
    <w:next w:val="1048"/>
    <w:uiPriority w:val="0"/>
    <w:qFormat/>
    <w:pPr>
      <w:ind w:hanging="420"/>
      <w:widowControl/>
      <w:tabs>
        <w:tab w:val="left" w:pos="2240" w:leader="none"/>
      </w:tabs>
      <w:outlineLvl w:val="3"/>
    </w:pPr>
    <w:rPr>
      <w:rFonts w:eastAsia="黑体"/>
      <w:szCs w:val="20"/>
    </w:rPr>
  </w:style>
  <w:style w:type="paragraph" w:styleId="1048" w:customStyle="1">
    <w:name w:val="段"/>
    <w:next w:val="734"/>
    <w:uiPriority w:val="0"/>
    <w:qFormat/>
    <w:pPr>
      <w:ind w:firstLine="200"/>
      <w:jc w:val="both"/>
    </w:pPr>
    <w:rPr>
      <w:rFonts w:hint="default" w:ascii="宋体" w:hAnsi="Calibri" w:eastAsia="宋体" w:cs="Times New Roman"/>
      <w:sz w:val="21"/>
    </w:rPr>
  </w:style>
  <w:style w:type="paragraph" w:styleId="1049" w:customStyle="1">
    <w:name w:val="默认段落字体 Para Char Char Char Char Char Char Char Char Char1 Char Char Char Char Char Char Char"/>
    <w:basedOn w:val="752"/>
    <w:uiPriority w:val="0"/>
    <w:qFormat/>
    <w:rPr>
      <w:szCs w:val="20"/>
    </w:rPr>
  </w:style>
  <w:style w:type="paragraph" w:styleId="1050" w:customStyle="1">
    <w:name w:val="Char Char Char Char Char Char Char1"/>
    <w:basedOn w:val="734"/>
    <w:uiPriority w:val="0"/>
    <w:qFormat/>
    <w:pPr>
      <w:jc w:val="left"/>
    </w:pPr>
    <w:rPr>
      <w:rFonts w:ascii="Tahoma" w:hAnsi="Tahoma"/>
      <w:sz w:val="24"/>
      <w:szCs w:val="20"/>
    </w:rPr>
  </w:style>
  <w:style w:type="paragraph" w:styleId="1051" w:customStyle="1">
    <w:name w:val="正文 首行缩进:  2 字符 Char"/>
    <w:basedOn w:val="734"/>
    <w:uiPriority w:val="0"/>
    <w:qFormat/>
    <w:pPr>
      <w:ind w:firstLine="480"/>
      <w:spacing w:line="360" w:lineRule="auto"/>
    </w:pPr>
    <w:rPr>
      <w:rFonts w:cs="宋体"/>
      <w:sz w:val="24"/>
      <w:szCs w:val="20"/>
    </w:rPr>
  </w:style>
  <w:style w:type="paragraph" w:styleId="1052" w:customStyle="1">
    <w:name w:val="大标题"/>
    <w:basedOn w:val="734"/>
    <w:next w:val="734"/>
    <w:uiPriority w:val="0"/>
    <w:qFormat/>
    <w:pPr>
      <w:ind w:hanging="420"/>
      <w:pageBreakBefore/>
      <w:spacing w:line="360" w:lineRule="auto"/>
      <w:tabs>
        <w:tab w:val="left" w:pos="420" w:leader="none"/>
      </w:tabs>
      <w:outlineLvl w:val="0"/>
    </w:pPr>
    <w:rPr>
      <w:b/>
      <w:iCs/>
      <w:sz w:val="44"/>
    </w:rPr>
  </w:style>
  <w:style w:type="paragraph" w:styleId="1053" w:customStyle="1">
    <w:name w:val="正文--表格内正文"/>
    <w:basedOn w:val="734"/>
    <w:uiPriority w:val="0"/>
    <w:qFormat/>
    <w:pPr>
      <w:jc w:val="center"/>
      <w:spacing w:line="0" w:lineRule="atLeast"/>
    </w:pPr>
    <w:rPr>
      <w:rFonts w:ascii="宋体" w:hAnsi="宋体"/>
      <w:color w:val="000000"/>
      <w:sz w:val="24"/>
    </w:rPr>
  </w:style>
  <w:style w:type="paragraph" w:styleId="1054" w:customStyle="1">
    <w:name w:val="样式"/>
    <w:basedOn w:val="734"/>
    <w:uiPriority w:val="0"/>
    <w:qFormat/>
    <w:pPr>
      <w:spacing w:before="120" w:after="120" w:line="360" w:lineRule="auto"/>
    </w:pPr>
    <w:rPr>
      <w:rFonts w:ascii="宋体"/>
      <w:sz w:val="24"/>
      <w:szCs w:val="20"/>
    </w:rPr>
  </w:style>
  <w:style w:type="paragraph" w:styleId="1055" w:customStyle="1">
    <w:name w:val="正文_0_0"/>
    <w:uiPriority w:val="0"/>
    <w:qFormat/>
    <w:pPr>
      <w:jc w:val="both"/>
      <w:widowControl w:val="off"/>
    </w:pPr>
    <w:rPr>
      <w:rFonts w:hint="default" w:ascii="Calibri" w:hAnsi="Calibri" w:eastAsia="宋体" w:cs="Times New Roman"/>
      <w:sz w:val="21"/>
      <w:szCs w:val="24"/>
    </w:rPr>
  </w:style>
  <w:style w:type="paragraph" w:styleId="1056" w:customStyle="1">
    <w:name w:val="Char Char Char Char Char"/>
    <w:basedOn w:val="734"/>
    <w:uiPriority w:val="0"/>
    <w:qFormat/>
    <w:rPr>
      <w:rFonts w:ascii="Tahoma" w:hAnsi="Tahoma"/>
      <w:sz w:val="24"/>
      <w:szCs w:val="20"/>
    </w:rPr>
  </w:style>
  <w:style w:type="paragraph" w:styleId="1057" w:customStyle="1">
    <w:name w:val="表头_5"/>
    <w:basedOn w:val="734"/>
    <w:uiPriority w:val="0"/>
    <w:qFormat/>
    <w:pPr>
      <w:spacing w:line="360" w:lineRule="auto"/>
    </w:pPr>
    <w:rPr>
      <w:b/>
      <w:bCs/>
      <w:sz w:val="28"/>
      <w:szCs w:val="21"/>
    </w:rPr>
  </w:style>
  <w:style w:type="paragraph" w:styleId="1058" w:customStyle="1">
    <w:name w:val="标题5，章节第五层"/>
    <w:basedOn w:val="734"/>
    <w:next w:val="73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59" w:customStyle="1">
    <w:name w:val="正文缩进2字符"/>
    <w:basedOn w:val="734"/>
    <w:uiPriority w:val="0"/>
    <w:qFormat/>
    <w:pPr>
      <w:ind w:firstLine="200"/>
      <w:spacing w:line="300" w:lineRule="auto"/>
    </w:pPr>
    <w:rPr>
      <w:rFonts w:ascii="仿宋_GB2312" w:eastAsia="仿宋_GB2312"/>
      <w:sz w:val="32"/>
      <w:szCs w:val="32"/>
    </w:rPr>
  </w:style>
  <w:style w:type="paragraph" w:styleId="1060" w:customStyle="1">
    <w:name w:val="xl28"/>
    <w:basedOn w:val="734"/>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61" w:customStyle="1">
    <w:name w:val="条1"/>
    <w:basedOn w:val="734"/>
    <w:uiPriority w:val="0"/>
    <w:qFormat/>
    <w:pPr>
      <w:ind w:left="780" w:hanging="360"/>
      <w:spacing w:before="156" w:line="360" w:lineRule="auto"/>
      <w:tabs>
        <w:tab w:val="left" w:pos="780" w:leader="none"/>
      </w:tabs>
    </w:pPr>
    <w:rPr>
      <w:rFonts w:eastAsia="黑体"/>
      <w:sz w:val="24"/>
      <w:szCs w:val="20"/>
    </w:rPr>
  </w:style>
  <w:style w:type="paragraph" w:styleId="1062" w:customStyle="1">
    <w:name w:val="Char"/>
    <w:basedOn w:val="734"/>
    <w:uiPriority w:val="0"/>
    <w:qFormat/>
    <w:pPr>
      <w:spacing w:line="360" w:lineRule="auto"/>
    </w:pPr>
    <w:rPr>
      <w:rFonts w:ascii="Tahoma" w:hAnsi="Tahoma"/>
      <w:sz w:val="24"/>
      <w:szCs w:val="20"/>
    </w:rPr>
  </w:style>
  <w:style w:type="paragraph" w:styleId="1063" w:customStyle="1">
    <w:name w:val="正文 + 宋体"/>
    <w:basedOn w:val="734"/>
    <w:uiPriority w:val="0"/>
    <w:qFormat/>
    <w:pPr>
      <w:ind w:firstLine="420"/>
      <w:spacing w:line="360" w:lineRule="auto"/>
    </w:pPr>
  </w:style>
  <w:style w:type="paragraph" w:styleId="1064" w:customStyle="1">
    <w:name w:val="标准文本"/>
    <w:basedOn w:val="734"/>
    <w:uiPriority w:val="0"/>
    <w:qFormat/>
    <w:pPr>
      <w:ind w:firstLine="480"/>
      <w:spacing w:line="360" w:lineRule="auto"/>
    </w:pPr>
    <w:rPr>
      <w:rFonts w:cs="宋体"/>
      <w:sz w:val="24"/>
    </w:rPr>
  </w:style>
  <w:style w:type="paragraph" w:styleId="1065" w:customStyle="1">
    <w:name w:val="xl40"/>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6" w:customStyle="1">
    <w:name w:val="样式 标题 3H3sect1.2.3BOD 0Heading 3 - oldh3l3CTLevel 3 Head..."/>
    <w:basedOn w:val="737"/>
    <w:uiPriority w:val="0"/>
    <w:qFormat/>
    <w:pPr>
      <w:jc w:val="left"/>
      <w:spacing w:line="240" w:lineRule="auto"/>
    </w:pPr>
    <w:rPr>
      <w:rFonts w:cs="宋体"/>
      <w:sz w:val="30"/>
      <w:szCs w:val="20"/>
    </w:rPr>
  </w:style>
  <w:style w:type="paragraph" w:styleId="1067" w:customStyle="1">
    <w:name w:val="正文文本 21"/>
    <w:basedOn w:val="734"/>
    <w:uiPriority w:val="0"/>
    <w:qFormat/>
    <w:pPr>
      <w:ind w:left="720" w:hanging="720"/>
      <w:widowControl/>
    </w:pPr>
    <w:rPr>
      <w:sz w:val="24"/>
      <w:szCs w:val="20"/>
      <w:lang w:val="en-GB"/>
    </w:rPr>
  </w:style>
  <w:style w:type="paragraph" w:styleId="1068" w:customStyle="1">
    <w:name w:val="Body text5"/>
    <w:basedOn w:val="734"/>
    <w:uiPriority w:val="0"/>
    <w:qFormat/>
    <w:pPr>
      <w:jc w:val="both"/>
      <w:spacing w:before="600" w:line="470" w:lineRule="exact"/>
      <w:shd w:val="clear" w:color="auto" w:fill="ffffff"/>
    </w:pPr>
    <w:rPr>
      <w:rFonts w:ascii="宋体" w:hAnsi="宋体" w:cs="宋体"/>
      <w:sz w:val="22"/>
      <w:szCs w:val="22"/>
    </w:rPr>
  </w:style>
  <w:style w:type="paragraph" w:styleId="1069" w:customStyle="1">
    <w:name w:val="content_lineheight"/>
    <w:basedOn w:val="734"/>
    <w:uiPriority w:val="0"/>
    <w:qFormat/>
    <w:pPr>
      <w:jc w:val="left"/>
      <w:spacing w:before="100" w:beforeAutospacing="1" w:after="100" w:afterAutospacing="1"/>
      <w:widowControl/>
    </w:pPr>
    <w:rPr>
      <w:rFonts w:ascii="宋体" w:hAnsi="宋体"/>
      <w:sz w:val="24"/>
    </w:rPr>
  </w:style>
  <w:style w:type="paragraph" w:styleId="1070" w:customStyle="1">
    <w:name w:val="xl42"/>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71" w:customStyle="1">
    <w:name w:val="p16"/>
    <w:basedOn w:val="734"/>
    <w:uiPriority w:val="0"/>
    <w:qFormat/>
    <w:pPr>
      <w:ind w:left="720"/>
      <w:jc w:val="left"/>
      <w:widowControl/>
    </w:pPr>
    <w:rPr>
      <w:rFonts w:ascii="Arial" w:hAnsi="Arial" w:cs="Arial"/>
      <w:sz w:val="24"/>
    </w:rPr>
  </w:style>
  <w:style w:type="paragraph" w:styleId="1072" w:customStyle="1">
    <w:name w:val="flType"/>
    <w:basedOn w:val="1073"/>
    <w:uiPriority w:val="0"/>
    <w:qFormat/>
    <w:pPr>
      <w:spacing w:after="284"/>
    </w:pPr>
    <w:rPr>
      <w:rFonts w:eastAsia="宋体"/>
      <w:b w:val="0"/>
    </w:rPr>
  </w:style>
  <w:style w:type="paragraph" w:styleId="1073" w:customStyle="1">
    <w:name w:val="flName"/>
    <w:basedOn w:val="1074"/>
    <w:uiPriority w:val="0"/>
    <w:qFormat/>
    <w:pPr>
      <w:spacing w:before="0" w:line="113" w:lineRule="atLeast"/>
    </w:pPr>
  </w:style>
  <w:style w:type="paragraph" w:styleId="1074" w:customStyle="1">
    <w:name w:val="flNote"/>
    <w:basedOn w:val="734"/>
    <w:uiPriority w:val="0"/>
    <w:qFormat/>
    <w:pPr>
      <w:jc w:val="center"/>
      <w:spacing w:before="567" w:line="360" w:lineRule="atLeast"/>
    </w:pPr>
    <w:rPr>
      <w:rFonts w:eastAsia="黑体"/>
      <w:b/>
      <w:sz w:val="24"/>
      <w:szCs w:val="20"/>
    </w:rPr>
  </w:style>
  <w:style w:type="paragraph" w:styleId="1075" w:customStyle="1">
    <w:name w:val="马刚标题4"/>
    <w:basedOn w:val="1076"/>
    <w:next w:val="734"/>
    <w:uiPriority w:val="0"/>
    <w:qFormat/>
    <w:pPr>
      <w:spacing w:before="100" w:after="40"/>
      <w:tabs>
        <w:tab w:val="left" w:pos="567" w:leader="none"/>
        <w:tab w:val="left" w:pos="735" w:leader="none"/>
        <w:tab w:val="left" w:pos="1050" w:leader="none"/>
      </w:tabs>
      <w:outlineLvl w:val="3"/>
    </w:pPr>
    <w:rPr>
      <w:b w:val="0"/>
    </w:rPr>
  </w:style>
  <w:style w:type="paragraph" w:styleId="1076" w:customStyle="1">
    <w:name w:val="马刚标题3"/>
    <w:basedOn w:val="734"/>
    <w:next w:val="73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77" w:customStyle="1">
    <w:name w:val="Char Char Char Char Char Char Char"/>
    <w:basedOn w:val="734"/>
    <w:uiPriority w:val="0"/>
    <w:qFormat/>
    <w:rPr>
      <w:rFonts w:ascii="Tahoma" w:hAnsi="Tahoma"/>
      <w:sz w:val="24"/>
      <w:szCs w:val="20"/>
    </w:rPr>
  </w:style>
  <w:style w:type="paragraph" w:styleId="1078" w:customStyle="1">
    <w:name w:val="Char Char1 Char1"/>
    <w:basedOn w:val="734"/>
    <w:uiPriority w:val="0"/>
    <w:qFormat/>
    <w:pPr>
      <w:jc w:val="left"/>
      <w:spacing w:after="160" w:line="240" w:lineRule="exact"/>
      <w:widowControl/>
    </w:pPr>
    <w:rPr>
      <w:rFonts w:ascii="Verdana" w:hAnsi="Verdana"/>
      <w:sz w:val="20"/>
      <w:szCs w:val="20"/>
      <w:lang w:eastAsia="en-US"/>
    </w:rPr>
  </w:style>
  <w:style w:type="paragraph" w:styleId="1079" w:customStyle="1">
    <w:name w:val="标题 4宋体"/>
    <w:basedOn w:val="738"/>
    <w:uiPriority w:val="0"/>
    <w:qFormat/>
    <w:pPr>
      <w:jc w:val="left"/>
      <w:keepLines w:val="0"/>
      <w:spacing w:before="0" w:after="0" w:line="360" w:lineRule="auto"/>
    </w:pPr>
    <w:rPr>
      <w:rFonts w:ascii="宋体" w:hAnsi="宋体" w:eastAsia="宋体"/>
      <w:bCs/>
      <w:color w:val="000000"/>
      <w:sz w:val="24"/>
    </w:rPr>
  </w:style>
  <w:style w:type="paragraph" w:styleId="1080" w:customStyle="1">
    <w:name w:val="Char1"/>
    <w:basedOn w:val="734"/>
    <w:uiPriority w:val="0"/>
    <w:qFormat/>
    <w:rPr>
      <w:rFonts w:ascii="仿宋_GB2312" w:eastAsia="仿宋_GB2312"/>
      <w:b/>
      <w:sz w:val="32"/>
      <w:szCs w:val="32"/>
    </w:rPr>
  </w:style>
  <w:style w:type="paragraph" w:styleId="1081" w:customStyle="1">
    <w:name w:val="标准小四"/>
    <w:basedOn w:val="734"/>
    <w:uiPriority w:val="0"/>
    <w:qFormat/>
    <w:pPr>
      <w:ind w:firstLine="480"/>
      <w:spacing w:line="360" w:lineRule="auto"/>
    </w:pPr>
    <w:rPr>
      <w:rFonts w:ascii="Arial" w:hAnsi="Arial"/>
      <w:sz w:val="24"/>
      <w:szCs w:val="21"/>
    </w:rPr>
  </w:style>
  <w:style w:type="paragraph" w:styleId="1082" w:customStyle="1">
    <w:name w:val="公文标题 2"/>
    <w:basedOn w:val="734"/>
    <w:next w:val="1083"/>
    <w:uiPriority w:val="0"/>
    <w:qFormat/>
    <w:pPr>
      <w:outlineLvl w:val="1"/>
    </w:pPr>
    <w:rPr>
      <w:rFonts w:ascii="仿宋_GB2312" w:hAnsi="宋体" w:eastAsia="仿宋_GB2312"/>
      <w:sz w:val="28"/>
    </w:rPr>
  </w:style>
  <w:style w:type="paragraph" w:styleId="1083" w:customStyle="1">
    <w:name w:val="公文正文"/>
    <w:basedOn w:val="757"/>
    <w:uiPriority w:val="0"/>
    <w:qFormat/>
    <w:pPr>
      <w:ind w:left="0" w:firstLine="200"/>
      <w:spacing w:after="0"/>
    </w:pPr>
    <w:rPr>
      <w:rFonts w:ascii="仿宋_GB2312" w:hAnsi="宋体" w:eastAsia="仿宋_GB2312"/>
      <w:sz w:val="28"/>
    </w:rPr>
  </w:style>
  <w:style w:type="paragraph" w:styleId="1084" w:customStyle="1">
    <w:name w:val="项目符号，二级"/>
    <w:basedOn w:val="1039"/>
    <w:next w:val="1039"/>
    <w:uiPriority w:val="0"/>
    <w:qFormat/>
    <w:pPr>
      <w:ind w:left="1337" w:right="-27" w:firstLine="480"/>
      <w:tabs>
        <w:tab w:val="left" w:pos="1211" w:leader="none"/>
        <w:tab w:val="left" w:pos="1337" w:leader="none"/>
      </w:tabs>
    </w:pPr>
    <w:rPr>
      <w:bCs w:val="0"/>
      <w:color w:val="000000"/>
      <w:sz w:val="24"/>
      <w:szCs w:val="24"/>
    </w:rPr>
  </w:style>
  <w:style w:type="paragraph" w:styleId="1085" w:customStyle="1">
    <w:name w:val="表蕊"/>
    <w:basedOn w:val="734"/>
    <w:uiPriority w:val="0"/>
    <w:qFormat/>
    <w:pPr>
      <w:jc w:val="left"/>
      <w:spacing w:line="320" w:lineRule="atLeast"/>
    </w:pPr>
    <w:rPr>
      <w:rFonts w:eastAsia="楷体_GB2312"/>
      <w:spacing w:val="-10"/>
      <w:szCs w:val="20"/>
    </w:rPr>
  </w:style>
  <w:style w:type="paragraph" w:styleId="1086" w:customStyle="1">
    <w:name w:val="样式4 Char"/>
    <w:basedOn w:val="734"/>
    <w:uiPriority w:val="0"/>
    <w:qFormat/>
    <w:pPr>
      <w:ind w:firstLine="480"/>
      <w:jc w:val="left"/>
      <w:spacing w:line="360" w:lineRule="auto"/>
      <w:widowControl/>
    </w:pPr>
    <w:rPr>
      <w:rFonts w:cs="宋体"/>
      <w:color w:val="000000"/>
      <w:sz w:val="24"/>
    </w:rPr>
  </w:style>
  <w:style w:type="paragraph" w:styleId="1087" w:customStyle="1">
    <w:name w:val="xl39"/>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a0"/>
    <w:basedOn w:val="734"/>
    <w:uiPriority w:val="0"/>
    <w:qFormat/>
    <w:pPr>
      <w:spacing w:before="100" w:beforeAutospacing="1" w:after="100" w:afterAutospacing="1"/>
      <w:widowControl/>
    </w:pPr>
    <w:rPr>
      <w:rFonts w:ascii="宋体" w:hAnsi="宋体" w:cs="宋体"/>
      <w:sz w:val="24"/>
    </w:rPr>
  </w:style>
  <w:style w:type="paragraph" w:styleId="1089" w:customStyle="1">
    <w:name w:val="Test2"/>
    <w:basedOn w:val="736"/>
    <w:uiPriority w:val="0"/>
    <w:qFormat/>
    <w:pPr>
      <w:jc w:val="center"/>
      <w:spacing w:line="480" w:lineRule="exact"/>
      <w:widowControl/>
    </w:pPr>
    <w:rPr>
      <w:rFonts w:ascii="黑体"/>
      <w:sz w:val="24"/>
      <w:szCs w:val="24"/>
    </w:rPr>
  </w:style>
  <w:style w:type="paragraph" w:styleId="1090">
    <w:name w:val="List Paragraph"/>
    <w:basedOn w:val="734"/>
    <w:next w:val="734"/>
    <w:uiPriority w:val="0"/>
    <w:qFormat/>
    <w:pPr>
      <w:ind w:firstLine="420"/>
    </w:pPr>
  </w:style>
  <w:style w:type="paragraph" w:styleId="1091" w:customStyle="1">
    <w:name w:val="正文lzq"/>
    <w:basedOn w:val="734"/>
    <w:uiPriority w:val="0"/>
    <w:qFormat/>
    <w:pPr>
      <w:ind w:firstLine="480"/>
      <w:spacing w:line="360" w:lineRule="auto"/>
    </w:pPr>
    <w:rPr>
      <w:sz w:val="24"/>
      <w:szCs w:val="20"/>
    </w:rPr>
  </w:style>
  <w:style w:type="paragraph" w:styleId="1092" w:customStyle="1">
    <w:name w:val="正文 首行缩进:  2 字符 Char Char"/>
    <w:basedOn w:val="734"/>
    <w:uiPriority w:val="0"/>
    <w:qFormat/>
    <w:pPr>
      <w:ind w:firstLine="480"/>
      <w:spacing w:line="360" w:lineRule="auto"/>
    </w:pPr>
    <w:rPr>
      <w:rFonts w:ascii="楷体_GB2312" w:eastAsia="楷体_GB2312"/>
      <w:bCs/>
      <w:sz w:val="24"/>
    </w:rPr>
  </w:style>
  <w:style w:type="paragraph" w:styleId="1093" w:customStyle="1">
    <w:name w:val="！正文"/>
    <w:basedOn w:val="734"/>
    <w:uiPriority w:val="0"/>
    <w:qFormat/>
    <w:pPr>
      <w:ind w:firstLine="200"/>
      <w:spacing w:line="360" w:lineRule="auto"/>
    </w:pPr>
    <w:rPr>
      <w:sz w:val="28"/>
    </w:rPr>
  </w:style>
  <w:style w:type="paragraph" w:styleId="1094" w:customStyle="1">
    <w:name w:val="Char1 Char Char Char"/>
    <w:basedOn w:val="734"/>
    <w:uiPriority w:val="0"/>
    <w:qFormat/>
    <w:rPr>
      <w:rFonts w:ascii="Tahoma" w:hAnsi="Tahoma"/>
      <w:sz w:val="24"/>
      <w:szCs w:val="20"/>
    </w:rPr>
  </w:style>
  <w:style w:type="paragraph" w:styleId="1095" w:customStyle="1">
    <w:name w:val="样式 段后: 0.5 行 左  0.75 字符"/>
    <w:basedOn w:val="734"/>
    <w:uiPriority w:val="0"/>
    <w:qFormat/>
    <w:pPr>
      <w:ind w:firstLine="420"/>
      <w:spacing w:line="360" w:lineRule="auto"/>
      <w:widowControl/>
    </w:pPr>
    <w:rPr>
      <w:rFonts w:hAnsi="Arial" w:cs="Arial"/>
      <w:szCs w:val="21"/>
    </w:rPr>
  </w:style>
  <w:style w:type="paragraph" w:styleId="1096" w:customStyle="1">
    <w:name w:val="正文1"/>
    <w:basedOn w:val="734"/>
    <w:next w:val="734"/>
    <w:uiPriority w:val="0"/>
    <w:qFormat/>
    <w:pPr>
      <w:ind w:firstLine="510"/>
      <w:spacing w:before="156" w:line="360" w:lineRule="auto"/>
    </w:pPr>
    <w:rPr>
      <w:sz w:val="24"/>
      <w:szCs w:val="20"/>
    </w:rPr>
  </w:style>
  <w:style w:type="paragraph" w:styleId="1097" w:customStyle="1">
    <w:name w:val="符号与编号 Char Char"/>
    <w:basedOn w:val="734"/>
    <w:uiPriority w:val="0"/>
    <w:qFormat/>
    <w:pPr>
      <w:ind w:left="839" w:hanging="419"/>
      <w:spacing w:line="400" w:lineRule="atLeast"/>
      <w:tabs>
        <w:tab w:val="left" w:pos="840" w:leader="none"/>
      </w:tabs>
    </w:pPr>
    <w:rPr>
      <w:sz w:val="24"/>
    </w:rPr>
  </w:style>
  <w:style w:type="paragraph" w:styleId="1098" w:customStyle="1">
    <w:name w:val="三级条标题"/>
    <w:next w:val="734"/>
    <w:uiPriority w:val="0"/>
    <w:qFormat/>
    <w:pPr>
      <w:jc w:val="both"/>
      <w:outlineLvl w:val="4"/>
    </w:pPr>
    <w:rPr>
      <w:rFonts w:hint="default" w:ascii="黑体" w:hAnsi="Calibri" w:eastAsia="黑体" w:cs="Times New Roman"/>
      <w:sz w:val="21"/>
    </w:rPr>
  </w:style>
  <w:style w:type="paragraph" w:styleId="1099" w:customStyle="1">
    <w:name w:val="xl36"/>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Char Char Char Char Char Char Char Char Char Char Char1 Char Char Char1"/>
    <w:basedOn w:val="734"/>
    <w:uiPriority w:val="0"/>
    <w:qFormat/>
    <w:pPr>
      <w:ind w:firstLine="200"/>
      <w:jc w:val="left"/>
    </w:pPr>
    <w:rPr>
      <w:rFonts w:ascii="Tahoma" w:hAnsi="Tahoma"/>
      <w:sz w:val="24"/>
    </w:rPr>
  </w:style>
  <w:style w:type="paragraph" w:styleId="1101" w:customStyle="1">
    <w:name w:val="Char Char Char Char Char Char Char Char Char"/>
    <w:basedOn w:val="734"/>
    <w:uiPriority w:val="0"/>
    <w:qFormat/>
    <w:rPr>
      <w:szCs w:val="21"/>
    </w:rPr>
  </w:style>
  <w:style w:type="paragraph" w:styleId="1102" w:customStyle="1">
    <w:name w:val="符号与编号"/>
    <w:basedOn w:val="734"/>
    <w:uiPriority w:val="0"/>
    <w:qFormat/>
    <w:pPr>
      <w:ind w:left="900" w:hanging="420"/>
      <w:spacing w:line="400" w:lineRule="atLeast"/>
      <w:tabs>
        <w:tab w:val="left" w:pos="900" w:leader="none"/>
      </w:tabs>
    </w:pPr>
    <w:rPr>
      <w:sz w:val="24"/>
    </w:rPr>
  </w:style>
  <w:style w:type="paragraph" w:styleId="1103" w:customStyle="1">
    <w:name w:val="列出段落2"/>
    <w:basedOn w:val="734"/>
    <w:uiPriority w:val="0"/>
    <w:qFormat/>
    <w:pPr>
      <w:contextualSpacing/>
      <w:ind w:left="720"/>
      <w:jc w:val="left"/>
      <w:widowControl/>
    </w:pPr>
    <w:rPr>
      <w:rFonts w:ascii="Arial" w:hAnsi="Arial" w:eastAsia="黑体"/>
      <w:sz w:val="24"/>
      <w:lang w:eastAsia="en-US"/>
    </w:rPr>
  </w:style>
  <w:style w:type="paragraph" w:styleId="1104" w:customStyle="1">
    <w:name w:val="标题2，章节第二层"/>
    <w:basedOn w:val="734"/>
    <w:next w:val="1039"/>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05" w:customStyle="1">
    <w:name w:val="正文 居中"/>
    <w:basedOn w:val="734"/>
    <w:uiPriority w:val="0"/>
    <w:qFormat/>
    <w:pPr>
      <w:jc w:val="center"/>
      <w:spacing w:line="360" w:lineRule="auto"/>
    </w:pPr>
    <w:rPr>
      <w:sz w:val="24"/>
      <w:szCs w:val="20"/>
    </w:rPr>
  </w:style>
  <w:style w:type="paragraph" w:styleId="1106" w:customStyle="1">
    <w:name w:val="Char Char2 Char"/>
    <w:basedOn w:val="734"/>
    <w:uiPriority w:val="0"/>
    <w:qFormat/>
    <w:pPr>
      <w:ind w:left="390" w:hanging="390"/>
      <w:keepLines/>
      <w:keepNext/>
      <w:pageBreakBefore/>
      <w:tabs>
        <w:tab w:val="left" w:pos="390" w:leader="none"/>
      </w:tabs>
    </w:pPr>
    <w:rPr>
      <w:rFonts w:ascii="Tahoma" w:hAnsi="Tahoma"/>
      <w:sz w:val="24"/>
      <w:szCs w:val="20"/>
    </w:rPr>
  </w:style>
  <w:style w:type="paragraph" w:styleId="1107" w:customStyle="1">
    <w:name w:val="Char Char1"/>
    <w:basedOn w:val="734"/>
    <w:uiPriority w:val="0"/>
    <w:qFormat/>
    <w:pPr>
      <w:jc w:val="left"/>
      <w:spacing w:after="160" w:line="240" w:lineRule="exact"/>
      <w:widowControl/>
    </w:pPr>
    <w:rPr>
      <w:rFonts w:eastAsia="仿宋_GB2312"/>
      <w:sz w:val="28"/>
    </w:rPr>
  </w:style>
  <w:style w:type="paragraph" w:styleId="1108"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1109" w:customStyle="1">
    <w:name w:val="xl44"/>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0" w:customStyle="1">
    <w:name w:val="样式 样式 首行缩进:  2 字符 + 行距: 1.5 倍行距"/>
    <w:basedOn w:val="734"/>
    <w:uiPriority w:val="0"/>
    <w:qFormat/>
    <w:pPr>
      <w:ind w:firstLine="470"/>
      <w:spacing w:line="360" w:lineRule="auto"/>
    </w:pPr>
    <w:rPr>
      <w:sz w:val="24"/>
      <w:szCs w:val="20"/>
    </w:rPr>
  </w:style>
  <w:style w:type="paragraph" w:styleId="1111" w:customStyle="1">
    <w:name w:val="xl37"/>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12" w:customStyle="1">
    <w:name w:val="小四 段落 宋体 Char"/>
    <w:basedOn w:val="749"/>
    <w:uiPriority w:val="0"/>
    <w:qFormat/>
    <w:pPr>
      <w:ind w:left="0" w:right="-33" w:firstLine="600"/>
      <w:jc w:val="left"/>
      <w:tabs>
        <w:tab w:val="clear" w:pos="2952" w:leader="none"/>
      </w:tabs>
    </w:pPr>
    <w:rPr>
      <w:rFonts w:ascii="仿宋_GB2312" w:eastAsia="仿宋_GB2312"/>
      <w:sz w:val="30"/>
      <w:szCs w:val="30"/>
    </w:rPr>
  </w:style>
  <w:style w:type="paragraph" w:styleId="1113" w:customStyle="1">
    <w:name w:val="样式 加点正文 + 段前: 0.5 行 段后: 0.5 行1"/>
    <w:basedOn w:val="734"/>
    <w:uiPriority w:val="0"/>
    <w:qFormat/>
    <w:pPr>
      <w:ind w:left="1268" w:hanging="420"/>
      <w:spacing w:line="300" w:lineRule="auto"/>
      <w:tabs>
        <w:tab w:val="left" w:pos="1268" w:leader="none"/>
      </w:tabs>
    </w:pPr>
    <w:rPr>
      <w:sz w:val="24"/>
      <w:szCs w:val="20"/>
    </w:rPr>
  </w:style>
  <w:style w:type="paragraph" w:styleId="1114" w:customStyle="1">
    <w:name w:val="qw"/>
    <w:uiPriority w:val="0"/>
    <w:qFormat/>
    <w:pPr>
      <w:jc w:val="both"/>
      <w:spacing w:line="312" w:lineRule="atLeast"/>
      <w:widowControl w:val="off"/>
    </w:pPr>
    <w:rPr>
      <w:rFonts w:hint="default" w:ascii="宋体" w:hAnsi="Calibri" w:eastAsia="宋体" w:cs="Times New Roman"/>
      <w:sz w:val="24"/>
    </w:rPr>
  </w:style>
  <w:style w:type="paragraph" w:styleId="1115" w:customStyle="1">
    <w:name w:val="样式1"/>
    <w:basedOn w:val="734"/>
    <w:uiPriority w:val="0"/>
    <w:qFormat/>
    <w:pPr>
      <w:ind w:firstLine="480"/>
      <w:spacing w:line="300" w:lineRule="auto"/>
    </w:pPr>
    <w:rPr>
      <w:sz w:val="24"/>
    </w:rPr>
  </w:style>
  <w:style w:type="paragraph" w:styleId="1116" w:customStyle="1">
    <w:name w:val="列出段落11"/>
    <w:basedOn w:val="734"/>
    <w:uiPriority w:val="0"/>
    <w:qFormat/>
    <w:pPr>
      <w:contextualSpacing/>
      <w:ind w:left="720"/>
      <w:jc w:val="left"/>
      <w:widowControl/>
    </w:pPr>
    <w:rPr>
      <w:rFonts w:ascii="Arial" w:hAnsi="Arial" w:eastAsia="黑体"/>
      <w:sz w:val="24"/>
      <w:lang w:eastAsia="en-US"/>
    </w:rPr>
  </w:style>
  <w:style w:type="paragraph" w:styleId="1117" w:customStyle="1">
    <w:name w:val="Char Char Char1"/>
    <w:basedOn w:val="734"/>
    <w:uiPriority w:val="0"/>
    <w:qFormat/>
    <w:rPr>
      <w:rFonts w:ascii="Tahoma" w:hAnsi="Tahoma"/>
      <w:sz w:val="24"/>
      <w:szCs w:val="20"/>
    </w:rPr>
  </w:style>
  <w:style w:type="paragraph" w:styleId="1118" w:customStyle="1">
    <w:name w:val="Char Char Char Char Char Char Char Char Char1"/>
    <w:basedOn w:val="734"/>
    <w:uiPriority w:val="0"/>
    <w:qFormat/>
    <w:pPr>
      <w:ind w:left="360" w:hanging="360"/>
      <w:tabs>
        <w:tab w:val="left" w:pos="360" w:leader="none"/>
      </w:tabs>
    </w:pPr>
    <w:rPr>
      <w:sz w:val="24"/>
    </w:rPr>
  </w:style>
  <w:style w:type="paragraph" w:styleId="1119" w:customStyle="1">
    <w:name w:val="xl45"/>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0" w:customStyle="1">
    <w:name w:val="马刚标题1"/>
    <w:basedOn w:val="735"/>
    <w:next w:val="734"/>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21" w:customStyle="1">
    <w:name w:val="xl43"/>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Char Char Char Char"/>
    <w:basedOn w:val="734"/>
    <w:uiPriority w:val="0"/>
    <w:qFormat/>
    <w:pPr>
      <w:jc w:val="center"/>
      <w:spacing w:after="160" w:line="240" w:lineRule="exact"/>
      <w:widowControl/>
    </w:pPr>
    <w:rPr>
      <w:rFonts w:ascii="黑体" w:hAnsi="Verdana" w:eastAsia="黑体"/>
      <w:sz w:val="32"/>
      <w:szCs w:val="32"/>
      <w:lang w:eastAsia="en-US"/>
    </w:rPr>
  </w:style>
  <w:style w:type="paragraph" w:styleId="1123" w:customStyle="1">
    <w:name w:val="丁华正文"/>
    <w:basedOn w:val="779"/>
    <w:uiPriority w:val="0"/>
    <w:qFormat/>
    <w:pPr>
      <w:ind w:left="0" w:firstLine="510"/>
      <w:spacing w:before="0" w:after="0" w:line="360" w:lineRule="auto"/>
    </w:pPr>
    <w:rPr>
      <w:rFonts w:ascii="宋体" w:hAnsi="Arial"/>
      <w:bCs w:val="0"/>
      <w:color w:val="000000"/>
      <w:szCs w:val="16"/>
    </w:rPr>
  </w:style>
  <w:style w:type="paragraph" w:styleId="1124" w:customStyle="1">
    <w:name w:val="Char Char Char Char Char Char Char Char Char Char Char Char Char Char Char Char Char Char Char Char Char Char Char"/>
    <w:basedOn w:val="734"/>
    <w:uiPriority w:val="0"/>
    <w:qFormat/>
    <w:rPr>
      <w:rFonts w:ascii="Tahoma" w:hAnsi="Tahoma"/>
      <w:sz w:val="24"/>
      <w:szCs w:val="20"/>
    </w:rPr>
  </w:style>
  <w:style w:type="paragraph" w:styleId="1125" w:customStyle="1">
    <w:name w:val="Char Char Char Char Char Char Char Char Char Char Char Char Char Char"/>
    <w:basedOn w:val="734"/>
    <w:uiPriority w:val="0"/>
    <w:qFormat/>
    <w:rPr>
      <w:rFonts w:ascii="Tahoma" w:hAnsi="Tahoma"/>
      <w:sz w:val="24"/>
      <w:szCs w:val="20"/>
    </w:rPr>
  </w:style>
  <w:style w:type="paragraph" w:styleId="1126" w:customStyle="1">
    <w:name w:val="小四 段落 宋体"/>
    <w:basedOn w:val="749"/>
    <w:uiPriority w:val="0"/>
    <w:qFormat/>
    <w:pPr>
      <w:ind w:left="113" w:right="113" w:firstLine="425"/>
      <w:jc w:val="left"/>
      <w:spacing w:line="360" w:lineRule="auto"/>
      <w:tabs>
        <w:tab w:val="clear" w:pos="2952" w:leader="none"/>
      </w:tabs>
    </w:pPr>
    <w:rPr>
      <w:sz w:val="24"/>
    </w:rPr>
  </w:style>
  <w:style w:type="paragraph" w:styleId="1127" w:customStyle="1">
    <w:name w:val="小四 段落 宋体 Char Char Char Char"/>
    <w:basedOn w:val="734"/>
    <w:uiPriority w:val="0"/>
    <w:qFormat/>
    <w:pPr>
      <w:ind w:right="-33" w:firstLine="480"/>
      <w:jc w:val="left"/>
      <w:spacing w:line="360" w:lineRule="auto"/>
    </w:pPr>
    <w:rPr>
      <w:sz w:val="24"/>
    </w:rPr>
  </w:style>
  <w:style w:type="paragraph" w:styleId="1128" w:customStyle="1">
    <w:name w:val="xl35"/>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9" w:customStyle="1">
    <w:name w:val="样式 样式 标题 3H3sect1.2.3BOD 0Heading 3 - oldh3l3CTLevel 3 Head... +..."/>
    <w:basedOn w:val="734"/>
    <w:uiPriority w:val="0"/>
    <w:qFormat/>
    <w:pPr>
      <w:jc w:val="left"/>
      <w:keepLines/>
      <w:keepNext/>
      <w:outlineLvl w:val="2"/>
    </w:pPr>
    <w:rPr>
      <w:rFonts w:cs="宋体"/>
      <w:b/>
      <w:bCs/>
      <w:sz w:val="24"/>
      <w:szCs w:val="20"/>
    </w:rPr>
  </w:style>
  <w:style w:type="paragraph" w:styleId="1130" w:customStyle="1">
    <w:name w:val="Char Char1 Char"/>
    <w:basedOn w:val="734"/>
    <w:uiPriority w:val="0"/>
    <w:qFormat/>
    <w:pPr>
      <w:jc w:val="left"/>
      <w:spacing w:after="160" w:line="240" w:lineRule="exact"/>
      <w:widowControl/>
    </w:pPr>
    <w:rPr>
      <w:rFonts w:ascii="Verdana" w:hAnsi="Verdana"/>
      <w:sz w:val="20"/>
      <w:szCs w:val="20"/>
      <w:lang w:eastAsia="en-US"/>
    </w:rPr>
  </w:style>
  <w:style w:type="paragraph" w:styleId="1131" w:customStyle="1">
    <w:name w:val="Char Char11"/>
    <w:basedOn w:val="734"/>
    <w:uiPriority w:val="0"/>
    <w:qFormat/>
    <w:rPr>
      <w:rFonts w:ascii="Tahoma" w:hAnsi="Tahoma"/>
      <w:sz w:val="24"/>
      <w:szCs w:val="20"/>
    </w:rPr>
  </w:style>
  <w:style w:type="paragraph" w:styleId="1132" w:customStyle="1">
    <w:name w:val="z-窗体底端1"/>
    <w:basedOn w:val="734"/>
    <w:next w:val="734"/>
    <w:uiPriority w:val="0"/>
    <w:qFormat/>
    <w:pPr>
      <w:jc w:val="center"/>
      <w:widowControl/>
      <w:pBdr>
        <w:top w:val="single" w:color="auto" w:sz="6" w:space="1"/>
      </w:pBdr>
    </w:pPr>
    <w:rPr>
      <w:rFonts w:ascii="Arial" w:hAnsi="Arial" w:cs="Arial"/>
      <w:vanish/>
      <w:sz w:val="16"/>
      <w:szCs w:val="16"/>
    </w:rPr>
  </w:style>
  <w:style w:type="paragraph" w:styleId="1133" w:customStyle="1">
    <w:name w:val="xl41"/>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34" w:customStyle="1">
    <w:name w:val="段落"/>
    <w:uiPriority w:val="0"/>
    <w:qFormat/>
    <w:pPr>
      <w:ind w:firstLine="480"/>
      <w:jc w:val="both"/>
      <w:spacing w:before="120" w:after="120" w:line="360" w:lineRule="auto"/>
    </w:pPr>
    <w:rPr>
      <w:rFonts w:hint="default" w:ascii="Calibri" w:hAnsi="Calibri" w:eastAsia="仿宋_GB2312" w:cs="Times New Roman"/>
      <w:sz w:val="24"/>
      <w:szCs w:val="24"/>
    </w:rPr>
  </w:style>
  <w:style w:type="paragraph" w:styleId="1135" w:customStyle="1">
    <w:name w:val="7"/>
    <w:basedOn w:val="734"/>
    <w:next w:val="785"/>
    <w:uiPriority w:val="0"/>
    <w:qFormat/>
    <w:pPr>
      <w:jc w:val="left"/>
      <w:spacing w:before="100" w:beforeAutospacing="1" w:after="100" w:afterAutospacing="1"/>
      <w:widowControl/>
    </w:pPr>
    <w:rPr>
      <w:rFonts w:ascii="宋体" w:hAnsi="宋体"/>
      <w:sz w:val="24"/>
      <w:szCs w:val="20"/>
    </w:rPr>
  </w:style>
  <w:style w:type="paragraph" w:styleId="1136" w:customStyle="1">
    <w:name w:val="文档正文"/>
    <w:basedOn w:val="734"/>
    <w:uiPriority w:val="0"/>
    <w:qFormat/>
    <w:pPr>
      <w:spacing w:line="360" w:lineRule="auto"/>
    </w:pPr>
    <w:rPr>
      <w:rFonts w:ascii="宋体" w:hAnsi="宋体"/>
      <w:b/>
      <w:bCs/>
    </w:rPr>
  </w:style>
  <w:style w:type="paragraph" w:styleId="1137" w:customStyle="1">
    <w:name w:val="标题4，章节第四层"/>
    <w:basedOn w:val="734"/>
    <w:next w:val="734"/>
    <w:uiPriority w:val="0"/>
    <w:qFormat/>
    <w:pPr>
      <w:spacing w:line="360" w:lineRule="auto"/>
      <w:tabs>
        <w:tab w:val="left" w:pos="0" w:leader="none"/>
      </w:tabs>
      <w:outlineLvl w:val="3"/>
    </w:pPr>
    <w:rPr>
      <w:rFonts w:ascii="宋体" w:hAnsi="宋体"/>
      <w:b/>
      <w:sz w:val="24"/>
    </w:rPr>
  </w:style>
  <w:style w:type="paragraph" w:styleId="1138" w:customStyle="1">
    <w:name w:val="默认段落字体 Para Char"/>
    <w:basedOn w:val="734"/>
    <w:uiPriority w:val="0"/>
    <w:qFormat/>
    <w:pPr>
      <w:spacing w:line="360" w:lineRule="auto"/>
    </w:pPr>
    <w:rPr>
      <w:sz w:val="24"/>
    </w:rPr>
  </w:style>
  <w:style w:type="paragraph" w:styleId="1139" w:customStyle="1">
    <w:name w:val="表格内文字"/>
    <w:basedOn w:val="734"/>
    <w:uiPriority w:val="0"/>
    <w:qFormat/>
    <w:pPr>
      <w:spacing w:line="300" w:lineRule="atLeast"/>
    </w:pPr>
    <w:rPr>
      <w:sz w:val="18"/>
    </w:rPr>
  </w:style>
  <w:style w:type="paragraph" w:styleId="1140" w:customStyle="1">
    <w:name w:val="Default"/>
    <w:uiPriority w:val="0"/>
    <w:qFormat/>
    <w:pPr>
      <w:widowControl w:val="off"/>
    </w:pPr>
    <w:rPr>
      <w:rFonts w:hint="default" w:ascii="宋体" w:hAnsi="Calibri" w:eastAsia="宋体" w:cs="宋体"/>
      <w:color w:val="000000"/>
      <w:sz w:val="24"/>
      <w:szCs w:val="24"/>
    </w:rPr>
  </w:style>
  <w:style w:type="paragraph" w:styleId="1141" w:customStyle="1">
    <w:name w:val="方案正文"/>
    <w:basedOn w:val="734"/>
    <w:uiPriority w:val="0"/>
    <w:qFormat/>
    <w:pPr>
      <w:ind w:firstLine="359"/>
      <w:jc w:val="left"/>
      <w:spacing w:before="156" w:line="360" w:lineRule="auto"/>
    </w:pPr>
    <w:rPr>
      <w:rFonts w:ascii="Arial" w:hAnsi="Arial" w:cs="宋体"/>
      <w:sz w:val="24"/>
      <w:szCs w:val="21"/>
    </w:rPr>
  </w:style>
  <w:style w:type="paragraph" w:styleId="1142" w:customStyle="1">
    <w:name w:val="样式 小四 段前: 3 磅 段后: 3 磅 行距: 1.5 倍行距"/>
    <w:basedOn w:val="734"/>
    <w:uiPriority w:val="0"/>
    <w:qFormat/>
    <w:pPr>
      <w:ind w:firstLine="540"/>
      <w:spacing w:before="60" w:after="60" w:line="360" w:lineRule="auto"/>
    </w:pPr>
    <w:rPr>
      <w:rFonts w:cs="宋体"/>
      <w:sz w:val="24"/>
    </w:rPr>
  </w:style>
  <w:style w:type="paragraph" w:styleId="1143" w:customStyle="1">
    <w:name w:val="retrait3"/>
    <w:basedOn w:val="734"/>
    <w:uiPriority w:val="0"/>
    <w:qFormat/>
    <w:pPr>
      <w:ind w:left="851"/>
      <w:jc w:val="left"/>
      <w:spacing w:before="20" w:after="20"/>
      <w:widowControl/>
    </w:pPr>
    <w:rPr>
      <w:rFonts w:ascii="Arial" w:hAnsi="Arial"/>
      <w:sz w:val="24"/>
      <w:szCs w:val="20"/>
      <w:lang w:val="en-GB"/>
    </w:rPr>
  </w:style>
  <w:style w:type="paragraph" w:styleId="1144" w:customStyle="1">
    <w:name w:val="font6"/>
    <w:basedOn w:val="734"/>
    <w:uiPriority w:val="0"/>
    <w:qFormat/>
    <w:pPr>
      <w:jc w:val="left"/>
      <w:spacing w:before="100" w:beforeAutospacing="1" w:after="100" w:afterAutospacing="1"/>
      <w:widowControl/>
    </w:pPr>
    <w:rPr>
      <w:szCs w:val="21"/>
    </w:rPr>
  </w:style>
  <w:style w:type="paragraph" w:styleId="1145" w:customStyle="1">
    <w:name w:val="Table Paragraph"/>
    <w:basedOn w:val="734"/>
    <w:uiPriority w:val="1"/>
    <w:qFormat/>
    <w:rPr>
      <w:rFonts w:ascii="宋体" w:hAnsi="宋体" w:cs="宋体"/>
      <w:lang w:val="zh-CN" w:bidi="zh-CN"/>
    </w:rPr>
  </w:style>
  <w:style w:type="paragraph" w:styleId="1146" w:customStyle="1">
    <w:name w:val="正文表标题"/>
    <w:next w:val="1048"/>
    <w:uiPriority w:val="0"/>
    <w:qFormat/>
    <w:pPr>
      <w:ind w:left="900" w:hanging="420"/>
      <w:jc w:val="center"/>
      <w:tabs>
        <w:tab w:val="left" w:pos="900" w:leader="none"/>
      </w:tabs>
    </w:pPr>
    <w:rPr>
      <w:rFonts w:hint="default" w:ascii="黑体" w:hAnsi="Calibri" w:eastAsia="黑体" w:cs="Times New Roman"/>
      <w:sz w:val="21"/>
    </w:rPr>
  </w:style>
  <w:style w:type="paragraph" w:styleId="1147" w:customStyle="1">
    <w:name w:val="Char Char Char Char Char Char Char Char Char Char Char"/>
    <w:basedOn w:val="734"/>
    <w:uiPriority w:val="0"/>
    <w:qFormat/>
    <w:rPr>
      <w:rFonts w:ascii="Tahoma" w:hAnsi="Tahoma"/>
      <w:sz w:val="24"/>
      <w:szCs w:val="20"/>
    </w:rPr>
  </w:style>
  <w:style w:type="paragraph" w:styleId="1148" w:customStyle="1">
    <w:name w:val="华宇段落1 Char"/>
    <w:basedOn w:val="734"/>
    <w:uiPriority w:val="0"/>
    <w:qFormat/>
    <w:pPr>
      <w:ind w:firstLine="200"/>
      <w:spacing w:line="360" w:lineRule="auto"/>
    </w:pPr>
    <w:rPr>
      <w:bCs/>
      <w:sz w:val="24"/>
    </w:rPr>
  </w:style>
  <w:style w:type="paragraph" w:styleId="1149" w:customStyle="1">
    <w:name w:val="丁华标题2"/>
    <w:basedOn w:val="736"/>
    <w:next w:val="1123"/>
    <w:uiPriority w:val="0"/>
    <w:qFormat/>
    <w:pPr>
      <w:ind w:left="567" w:hanging="567"/>
      <w:jc w:val="left"/>
      <w:spacing w:before="120" w:after="120"/>
      <w:tabs>
        <w:tab w:val="left" w:pos="567" w:leader="none"/>
      </w:tabs>
    </w:pPr>
    <w:rPr>
      <w:color w:val="000000"/>
      <w:sz w:val="28"/>
      <w:szCs w:val="20"/>
    </w:rPr>
  </w:style>
  <w:style w:type="paragraph" w:styleId="1150" w:customStyle="1">
    <w:name w:val="样式3"/>
    <w:basedOn w:val="734"/>
    <w:next w:val="734"/>
    <w:uiPriority w:val="0"/>
    <w:qFormat/>
    <w:pPr>
      <w:spacing w:line="360" w:lineRule="auto"/>
    </w:pPr>
    <w:rPr>
      <w:szCs w:val="20"/>
    </w:rPr>
  </w:style>
  <w:style w:type="paragraph" w:styleId="1151" w:customStyle="1">
    <w:name w:val="部分1"/>
    <w:basedOn w:val="734"/>
    <w:uiPriority w:val="0"/>
    <w:qFormat/>
    <w:pPr>
      <w:jc w:val="center"/>
      <w:keepNext/>
      <w:pageBreakBefore/>
      <w:spacing w:line="360" w:lineRule="auto"/>
      <w:tabs>
        <w:tab w:val="left" w:pos="360" w:leader="none"/>
      </w:tabs>
      <w:outlineLvl w:val="0"/>
    </w:pPr>
    <w:rPr>
      <w:rFonts w:eastAsia="黑体"/>
      <w:b/>
      <w:sz w:val="36"/>
      <w:szCs w:val="20"/>
    </w:rPr>
  </w:style>
  <w:style w:type="paragraph" w:styleId="1152" w:customStyle="1">
    <w:name w:val="章标题"/>
    <w:next w:val="1048"/>
    <w:uiPriority w:val="0"/>
    <w:qFormat/>
    <w:pPr>
      <w:jc w:val="both"/>
      <w:outlineLvl w:val="1"/>
    </w:pPr>
    <w:rPr>
      <w:rFonts w:hint="default" w:ascii="Calibri" w:hAnsi="Calibri" w:eastAsia="黑体" w:cs="Times New Roman"/>
      <w:sz w:val="21"/>
    </w:rPr>
  </w:style>
  <w:style w:type="paragraph" w:styleId="1153" w:customStyle="1">
    <w:name w:val="zw"/>
    <w:basedOn w:val="734"/>
    <w:uiPriority w:val="0"/>
    <w:qFormat/>
    <w:pPr>
      <w:ind w:firstLine="480"/>
      <w:jc w:val="left"/>
      <w:spacing w:line="360" w:lineRule="auto"/>
      <w:widowControl/>
    </w:pPr>
    <w:rPr>
      <w:rFonts w:ascii="宋体" w:hAnsi="宋体"/>
      <w:bCs/>
      <w:sz w:val="24"/>
      <w:szCs w:val="20"/>
    </w:rPr>
  </w:style>
  <w:style w:type="paragraph" w:styleId="1154" w:customStyle="1">
    <w:name w:val="列出段落1"/>
    <w:basedOn w:val="734"/>
    <w:uiPriority w:val="0"/>
    <w:qFormat/>
    <w:pPr>
      <w:ind w:firstLine="420"/>
    </w:pPr>
    <w:rPr>
      <w:szCs w:val="22"/>
    </w:rPr>
  </w:style>
  <w:style w:type="paragraph" w:styleId="1155" w:customStyle="1">
    <w:name w:val="Char Char1 Char Char Char Char1 Char Char Char Char Char Char"/>
    <w:basedOn w:val="734"/>
    <w:uiPriority w:val="0"/>
    <w:qFormat/>
    <w:rPr>
      <w:rFonts w:ascii="Tahoma" w:hAnsi="Tahoma"/>
      <w:sz w:val="24"/>
      <w:szCs w:val="20"/>
    </w:rPr>
  </w:style>
  <w:style w:type="paragraph" w:styleId="1156" w:customStyle="1">
    <w:name w:val="font5"/>
    <w:basedOn w:val="734"/>
    <w:uiPriority w:val="0"/>
    <w:qFormat/>
    <w:pPr>
      <w:jc w:val="left"/>
      <w:spacing w:before="100" w:beforeAutospacing="1" w:after="100" w:afterAutospacing="1"/>
      <w:widowControl/>
    </w:pPr>
    <w:rPr>
      <w:rFonts w:ascii="宋体" w:hAnsi="宋体" w:cs="宋体"/>
      <w:sz w:val="18"/>
      <w:szCs w:val="18"/>
    </w:rPr>
  </w:style>
  <w:style w:type="paragraph" w:styleId="1157" w:customStyle="1">
    <w:name w:val="a"/>
    <w:basedOn w:val="734"/>
    <w:uiPriority w:val="0"/>
    <w:qFormat/>
    <w:pPr>
      <w:spacing w:before="100" w:beforeAutospacing="1" w:after="100" w:afterAutospacing="1"/>
      <w:widowControl/>
    </w:pPr>
    <w:rPr>
      <w:rFonts w:ascii="宋体" w:hAnsi="宋体" w:cs="宋体"/>
      <w:sz w:val="24"/>
    </w:rPr>
  </w:style>
  <w:style w:type="paragraph" w:styleId="1158" w:customStyle="1">
    <w:name w:val="Char Char Char"/>
    <w:basedOn w:val="752"/>
    <w:uiPriority w:val="0"/>
    <w:qFormat/>
    <w:pPr>
      <w:spacing w:line="436" w:lineRule="exact"/>
    </w:pPr>
  </w:style>
  <w:style w:type="paragraph" w:styleId="1159" w:customStyle="1">
    <w:name w:val="正文文本 New New"/>
    <w:basedOn w:val="734"/>
    <w:uiPriority w:val="0"/>
    <w:qFormat/>
    <w:pPr>
      <w:ind w:firstLine="200"/>
      <w:spacing w:before="60" w:after="60" w:line="360" w:lineRule="auto"/>
      <w:widowControl/>
    </w:pPr>
    <w:rPr>
      <w:rFonts w:eastAsia="华文楷体"/>
      <w:sz w:val="24"/>
    </w:rPr>
  </w:style>
  <w:style w:type="paragraph" w:styleId="1160" w:customStyle="1">
    <w:name w:val="正文2"/>
    <w:basedOn w:val="734"/>
    <w:uiPriority w:val="0"/>
    <w:qFormat/>
    <w:pPr>
      <w:ind w:firstLine="510"/>
      <w:spacing w:before="156" w:line="360" w:lineRule="auto"/>
    </w:pPr>
    <w:rPr>
      <w:sz w:val="24"/>
      <w:szCs w:val="20"/>
    </w:rPr>
  </w:style>
  <w:style w:type="paragraph" w:styleId="1161" w:customStyle="1">
    <w:name w:val="插图"/>
    <w:basedOn w:val="734"/>
    <w:uiPriority w:val="0"/>
    <w:qFormat/>
    <w:pPr>
      <w:jc w:val="center"/>
      <w:tabs>
        <w:tab w:val="left" w:pos="1620" w:leader="none"/>
      </w:tabs>
    </w:pPr>
    <w:rPr>
      <w:bCs/>
      <w:color w:val="000000"/>
      <w:szCs w:val="22"/>
    </w:rPr>
  </w:style>
  <w:style w:type="paragraph" w:styleId="1162" w:customStyle="1">
    <w:name w:val="样式 标题 2第一章 标题 2Heading 2 HiddenHeading 2 CCBSheading 2H2h2..."/>
    <w:basedOn w:val="736"/>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63" w:customStyle="1">
    <w:name w:val="tableau"/>
    <w:basedOn w:val="734"/>
    <w:uiPriority w:val="0"/>
    <w:qFormat/>
    <w:pPr>
      <w:jc w:val="center"/>
      <w:spacing w:before="20" w:after="20"/>
      <w:widowControl/>
    </w:pPr>
    <w:rPr>
      <w:rFonts w:ascii="Arial" w:hAnsi="Arial"/>
      <w:sz w:val="16"/>
      <w:szCs w:val="20"/>
      <w:lang w:val="en-GB" w:eastAsia="en-US"/>
    </w:rPr>
  </w:style>
  <w:style w:type="paragraph" w:styleId="1164" w:customStyle="1">
    <w:name w:val="z-窗体顶端1"/>
    <w:basedOn w:val="734"/>
    <w:next w:val="734"/>
    <w:uiPriority w:val="0"/>
    <w:qFormat/>
    <w:pPr>
      <w:jc w:val="center"/>
      <w:widowControl/>
      <w:pBdr>
        <w:bottom w:val="single" w:color="auto" w:sz="6" w:space="1"/>
      </w:pBdr>
    </w:pPr>
    <w:rPr>
      <w:rFonts w:ascii="Arial" w:hAnsi="Arial" w:cs="Arial"/>
      <w:vanish/>
      <w:sz w:val="16"/>
      <w:szCs w:val="16"/>
    </w:rPr>
  </w:style>
  <w:style w:type="paragraph" w:styleId="1165" w:customStyle="1">
    <w:name w:val="样式2"/>
    <w:basedOn w:val="734"/>
    <w:uiPriority w:val="0"/>
    <w:qFormat/>
    <w:pPr>
      <w:ind w:left="200"/>
      <w:spacing w:line="360" w:lineRule="auto"/>
    </w:pPr>
    <w:rPr>
      <w:rFonts w:ascii="宋体" w:hAnsi="宋体"/>
      <w:b/>
      <w:sz w:val="24"/>
    </w:rPr>
  </w:style>
  <w:style w:type="paragraph" w:styleId="1166" w:customStyle="1">
    <w:name w:val="标题1，章节第一层"/>
    <w:basedOn w:val="1039"/>
    <w:next w:val="1039"/>
    <w:uiPriority w:val="0"/>
    <w:qFormat/>
    <w:pPr>
      <w:ind w:left="482"/>
      <w:tabs>
        <w:tab w:val="left" w:pos="693" w:leader="none"/>
      </w:tabs>
      <w:outlineLvl w:val="0"/>
    </w:pPr>
    <w:rPr>
      <w:color w:val="000000"/>
      <w:sz w:val="24"/>
      <w:szCs w:val="24"/>
    </w:rPr>
  </w:style>
  <w:style w:type="paragraph" w:styleId="1167" w:customStyle="1">
    <w:name w:val="样式 样式 首行缩进:  0.74 厘米 行距: 1.5 倍行距 + 段后: 0.5 行"/>
    <w:basedOn w:val="734"/>
    <w:uiPriority w:val="0"/>
    <w:qFormat/>
    <w:pPr>
      <w:ind w:firstLine="420"/>
      <w:spacing w:line="360" w:lineRule="auto"/>
    </w:pPr>
    <w:rPr>
      <w:rFonts w:ascii="楷体_GB2312" w:eastAsia="楷体_GB2312"/>
      <w:bCs/>
      <w:sz w:val="24"/>
      <w:szCs w:val="20"/>
    </w:rPr>
  </w:style>
  <w:style w:type="paragraph" w:styleId="1168" w:customStyle="1">
    <w:name w:val="宏图高科"/>
    <w:basedOn w:val="734"/>
    <w:uiPriority w:val="0"/>
    <w:qFormat/>
    <w:pPr>
      <w:ind w:firstLine="480"/>
      <w:spacing w:line="360" w:lineRule="auto"/>
    </w:pPr>
    <w:rPr>
      <w:rFonts w:eastAsia="楷体_GB2312"/>
      <w:sz w:val="24"/>
      <w:szCs w:val="20"/>
    </w:rPr>
  </w:style>
  <w:style w:type="paragraph" w:styleId="1169" w:customStyle="1">
    <w:name w:val="表格内容"/>
    <w:basedOn w:val="734"/>
    <w:uiPriority w:val="0"/>
    <w:qFormat/>
    <w:pPr>
      <w:jc w:val="center"/>
      <w:spacing w:before="60" w:line="300" w:lineRule="auto"/>
      <w:widowControl/>
    </w:pPr>
    <w:rPr>
      <w:szCs w:val="20"/>
    </w:rPr>
  </w:style>
  <w:style w:type="paragraph" w:styleId="1170" w:customStyle="1">
    <w:name w:val="xl32"/>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1"/>
    <w:basedOn w:val="734"/>
    <w:next w:val="783"/>
    <w:uiPriority w:val="0"/>
    <w:qFormat/>
    <w:pPr>
      <w:spacing w:line="360" w:lineRule="auto"/>
    </w:pPr>
    <w:rPr>
      <w:rFonts w:eastAsia="仿宋_GB2312"/>
      <w:sz w:val="24"/>
    </w:rPr>
  </w:style>
  <w:style w:type="paragraph" w:styleId="1172" w:customStyle="1">
    <w:name w:val="小四 段落 宋体 Char Char Char"/>
    <w:basedOn w:val="749"/>
    <w:uiPriority w:val="0"/>
    <w:qFormat/>
    <w:pPr>
      <w:ind w:left="0" w:right="-33" w:firstLine="545"/>
      <w:jc w:val="left"/>
      <w:spacing w:line="360" w:lineRule="auto"/>
      <w:tabs>
        <w:tab w:val="clear" w:pos="2952" w:leader="none"/>
      </w:tabs>
    </w:pPr>
    <w:rPr>
      <w:sz w:val="24"/>
    </w:rPr>
  </w:style>
  <w:style w:type="paragraph" w:styleId="1173" w:customStyle="1">
    <w:name w:val="Char2"/>
    <w:basedOn w:val="752"/>
    <w:uiPriority w:val="0"/>
    <w:qFormat/>
    <w:rPr>
      <w:rFonts w:ascii="Tahoma" w:hAnsi="Tahoma"/>
      <w:sz w:val="24"/>
    </w:rPr>
  </w:style>
  <w:style w:type="paragraph" w:styleId="1174" w:customStyle="1">
    <w:name w:val="方案文档"/>
    <w:basedOn w:val="734"/>
    <w:uiPriority w:val="0"/>
    <w:qFormat/>
    <w:pPr>
      <w:ind w:firstLine="225"/>
      <w:spacing w:before="60" w:after="60" w:line="360" w:lineRule="auto"/>
    </w:pPr>
    <w:rPr>
      <w:rFonts w:ascii="宋体"/>
      <w:color w:val="000000"/>
      <w:sz w:val="24"/>
      <w:szCs w:val="20"/>
    </w:rPr>
  </w:style>
  <w:style w:type="paragraph" w:styleId="1175" w:customStyle="1">
    <w:name w:val="标题3，章节第三层"/>
    <w:basedOn w:val="734"/>
    <w:next w:val="1039"/>
    <w:uiPriority w:val="0"/>
    <w:qFormat/>
    <w:pPr>
      <w:spacing w:before="78" w:line="300" w:lineRule="auto"/>
      <w:outlineLvl w:val="2"/>
    </w:pPr>
    <w:rPr>
      <w:rFonts w:ascii="Arial" w:hAnsi="Arial" w:eastAsia="华文细黑"/>
      <w:sz w:val="30"/>
    </w:rPr>
  </w:style>
  <w:style w:type="paragraph" w:styleId="1176" w:customStyle="1">
    <w:name w:val="Char Char Char Char Char Char Char Char Char Char Char Char Char Char Char Char Char Char Char Char Char"/>
    <w:basedOn w:val="734"/>
    <w:uiPriority w:val="0"/>
    <w:qFormat/>
    <w:rPr>
      <w:rFonts w:ascii="Tahoma" w:hAnsi="Tahoma"/>
      <w:sz w:val="24"/>
      <w:szCs w:val="20"/>
    </w:rPr>
  </w:style>
  <w:style w:type="paragraph" w:styleId="1177" w:customStyle="1">
    <w:name w:val="样式 模板正文 + 左侧:  2 字符 段前: 0 磅 行距: 单倍行距"/>
    <w:basedOn w:val="734"/>
    <w:uiPriority w:val="0"/>
    <w:qFormat/>
    <w:pPr>
      <w:ind w:firstLine="200"/>
      <w:spacing w:before="120" w:line="320" w:lineRule="exact"/>
    </w:pPr>
    <w:rPr>
      <w:rFonts w:ascii="Arial" w:hAnsi="Arial" w:cs="宋体"/>
      <w:szCs w:val="20"/>
    </w:rPr>
  </w:style>
  <w:style w:type="paragraph" w:styleId="1178" w:customStyle="1">
    <w:name w:val="xl34"/>
    <w:basedOn w:val="73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9" w:customStyle="1">
    <w:name w:val="font7"/>
    <w:basedOn w:val="734"/>
    <w:uiPriority w:val="0"/>
    <w:qFormat/>
    <w:pPr>
      <w:jc w:val="left"/>
      <w:spacing w:before="100" w:beforeAutospacing="1" w:after="100" w:afterAutospacing="1"/>
      <w:widowControl/>
    </w:pPr>
    <w:rPr>
      <w:rFonts w:hint="eastAsia" w:ascii="宋体" w:hAnsi="宋体"/>
      <w:b/>
      <w:bCs/>
      <w:sz w:val="24"/>
    </w:rPr>
  </w:style>
  <w:style w:type="paragraph" w:styleId="1180" w:customStyle="1">
    <w:name w:val="列出段落3"/>
    <w:basedOn w:val="734"/>
    <w:uiPriority w:val="34"/>
    <w:qFormat/>
    <w:pPr>
      <w:ind w:firstLine="420"/>
    </w:pPr>
    <w:rPr>
      <w:rFonts w:ascii="等线" w:hAnsi="等线" w:eastAsia="等线" w:cs="黑体"/>
      <w:szCs w:val="22"/>
    </w:rPr>
  </w:style>
  <w:style w:type="paragraph" w:styleId="1181" w:customStyle="1">
    <w:name w:val="列出段落4"/>
    <w:basedOn w:val="734"/>
    <w:uiPriority w:val="0"/>
    <w:qFormat/>
    <w:pPr>
      <w:ind w:firstLine="420"/>
    </w:pPr>
    <w:rPr>
      <w:rFonts w:eastAsia="仿宋"/>
      <w:sz w:val="32"/>
      <w:szCs w:val="22"/>
    </w:rPr>
  </w:style>
  <w:style w:type="character" w:styleId="1182" w:customStyle="1">
    <w:name w:val="fontstyle01"/>
    <w:basedOn w:val="744"/>
    <w:uiPriority w:val="0"/>
    <w:qFormat/>
    <w:rPr>
      <w:rFonts w:ascii="宋体" w:hAnsi="宋体" w:eastAsia="宋体" w:cs="宋体"/>
      <w:color w:val="ff0000"/>
      <w:sz w:val="22"/>
      <w:szCs w:val="22"/>
    </w:rPr>
  </w:style>
  <w:style w:type="paragraph" w:styleId="1183" w:customStyle="1">
    <w:name w:val="Table Text"/>
    <w:basedOn w:val="734"/>
    <w:uiPriority w:val="0"/>
    <w:semiHidden/>
    <w:qFormat/>
    <w:rPr>
      <w:rFonts w:ascii="宋体" w:hAnsi="宋体" w:cs="宋体"/>
      <w:sz w:val="24"/>
      <w:lang w:eastAsia="en-US"/>
    </w:rPr>
  </w:style>
  <w:style w:type="table" w:styleId="1184" w:customStyle="1">
    <w:name w:val="Table Normal"/>
    <w:uiPriority w:val="0"/>
    <w:unhideWhenUsed/>
    <w:qFormat/>
    <w:tblPr>
      <w:tblCellMar>
        <w:left w:w="0" w:type="dxa"/>
        <w:top w:w="0" w:type="dxa"/>
        <w:right w:w="0" w:type="dxa"/>
        <w:bottom w:w="0" w:type="dxa"/>
      </w:tblCellMar>
    </w:tblPr>
  </w:style>
  <w:style w:type="paragraph" w:styleId="1185" w:customStyle="1">
    <w:name w:val="列表段落1"/>
    <w:basedOn w:val="734"/>
    <w:uiPriority w:val="99"/>
    <w:qFormat/>
    <w:pPr>
      <w:ind w:firstLine="420"/>
    </w:pPr>
    <w:rPr>
      <w:rFonts w:ascii="Times New Roman" w:hAnsi="Times New Roman"/>
      <w:szCs w:val="20"/>
    </w:rPr>
  </w:style>
  <w:style w:type="paragraph" w:styleId="1186" w:customStyle="1">
    <w:name w:val="List Paragraph1"/>
    <w:basedOn w:val="734"/>
    <w:uiPriority w:val="0"/>
    <w:qFormat/>
    <w:pPr>
      <w:ind w:firstLine="420"/>
    </w:pPr>
    <w:rPr>
      <w:rFonts w:ascii="Times New Roman" w:hAnsi="Times New Roman"/>
      <w:szCs w:val="21"/>
    </w:rPr>
  </w:style>
  <w:style w:type="paragraph" w:styleId="1187" w:customStyle="1">
    <w:name w:val="标题二、"/>
    <w:basedOn w:val="734"/>
    <w:uiPriority w:val="99"/>
    <w:unhideWhenUsed/>
    <w:qFormat/>
    <w:pPr>
      <w:ind w:firstLine="200"/>
      <w:spacing w:line="360" w:lineRule="auto"/>
      <w:outlineLvl w:val="2"/>
    </w:pPr>
    <w:rPr>
      <w:rFonts w:hint="eastAsia" w:ascii="宋体" w:hAnsi="宋体" w:eastAsia="宋体"/>
      <w:b/>
      <w:sz w:val="21"/>
    </w:rPr>
  </w:style>
  <w:style w:type="paragraph" w:styleId="1188" w:customStyle="1">
    <w:name w:val="标题 21"/>
    <w:basedOn w:val="734"/>
    <w:next w:val="734"/>
    <w:uiPriority w:val="0"/>
    <w:qFormat/>
    <w:pPr>
      <w:numPr>
        <w:ilvl w:val="1"/>
        <w:numId w:val="1"/>
      </w:numPr>
      <w:keepLines/>
      <w:keepNext/>
      <w:spacing w:before="20" w:after="20" w:line="240" w:lineRule="auto"/>
      <w:outlineLvl w:val="1"/>
    </w:pPr>
    <w:rPr>
      <w:rFonts w:ascii="Cambria" w:hAnsi="Cambria"/>
      <w:b/>
      <w:bCs/>
      <w:sz w:val="28"/>
      <w:szCs w:val="32"/>
    </w:rPr>
  </w:style>
  <w:style w:type="paragraph" w:styleId="1189" w:customStyle="1">
    <w:name w:val="paragraph"/>
    <w:basedOn w:val="734"/>
    <w:uiPriority w:val="0"/>
    <w:qFormat/>
    <w:pPr>
      <w:jc w:val="left"/>
      <w:spacing w:before="100" w:beforeAutospacing="1" w:after="100" w:afterAutospacing="1"/>
      <w:widowControl/>
    </w:pPr>
    <w:rPr>
      <w:rFonts w:ascii="宋体" w:hAnsi="宋体" w:cs="宋体"/>
      <w:sz w:val="24"/>
    </w:rPr>
  </w:style>
  <w:style w:type="character" w:styleId="1190" w:customStyle="1">
    <w:name w:val="NormalCharacter1"/>
    <w:link w:val="734"/>
    <w:uiPriority w:val="0"/>
    <w:qFormat/>
    <w:rPr>
      <w:rFonts w:hint="default" w:ascii="Calibri" w:hAnsi="Calibri" w:eastAsia="宋体" w:cs="Times New Roman"/>
      <w:sz w:val="21"/>
      <w:szCs w:val="24"/>
    </w:rPr>
  </w:style>
  <w:style w:type="paragraph" w:styleId="1191" w:customStyle="1">
    <w:name w:val="正文首行缩进 21"/>
    <w:basedOn w:val="1192"/>
    <w:uiPriority w:val="99"/>
    <w:qFormat/>
    <w:pPr>
      <w:ind w:firstLine="420"/>
    </w:pPr>
  </w:style>
  <w:style w:type="paragraph" w:styleId="1192" w:customStyle="1">
    <w:name w:val="正文文本缩进1"/>
    <w:basedOn w:val="734"/>
    <w:next w:val="1193"/>
    <w:uiPriority w:val="0"/>
    <w:qFormat/>
    <w:pPr>
      <w:ind w:left="420"/>
      <w:spacing w:after="120"/>
    </w:pPr>
  </w:style>
  <w:style w:type="paragraph" w:styleId="1193" w:customStyle="1">
    <w:name w:val="寄信人地址1"/>
    <w:basedOn w:val="734"/>
    <w:uiPriority w:val="99"/>
    <w:qFormat/>
    <w:rPr>
      <w:rFonts w:ascii="Arial" w:hAnsi="Arial" w:cs="Arial"/>
    </w:rPr>
  </w:style>
  <w:style w:type="paragraph" w:styleId="1194" w:customStyle="1">
    <w:name w:val="标题 41"/>
    <w:basedOn w:val="734"/>
    <w:next w:val="99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195"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1196" w:customStyle="1">
    <w:name w:val="页脚1"/>
    <w:basedOn w:val="734"/>
    <w:uiPriority w:val="99"/>
    <w:qFormat/>
    <w:pPr>
      <w:jc w:val="left"/>
      <w:tabs>
        <w:tab w:val="center" w:pos="4153" w:leader="none"/>
        <w:tab w:val="right" w:pos="8306" w:leader="none"/>
      </w:tabs>
    </w:pPr>
    <w:rPr>
      <w:sz w:val="18"/>
      <w:szCs w:val="18"/>
    </w:rPr>
  </w:style>
  <w:style w:type="paragraph" w:styleId="1197" w:customStyle="1">
    <w:name w:val="普通正文"/>
    <w:basedOn w:val="734"/>
    <w:uiPriority w:val="0"/>
    <w:qFormat/>
    <w:pPr>
      <w:ind w:firstLine="480"/>
      <w:spacing w:before="120" w:after="120" w:line="360" w:lineRule="auto"/>
      <w:widowControl w:val="off"/>
    </w:pPr>
    <w:rPr>
      <w:rFonts w:eastAsia="宋体" w:cs="Times New Roman"/>
      <w:color w:val="auto"/>
      <w:sz w:val="24"/>
      <w:szCs w:val="24"/>
    </w:rPr>
  </w:style>
  <w:style w:type="paragraph" w:styleId="1198" w:customStyle="1">
    <w:name w:val="正文文本缩进111"/>
    <w:basedOn w:val="734"/>
    <w:uiPriority w:val="0"/>
    <w:qFormat/>
    <w:pPr>
      <w:ind w:left="420"/>
      <w:spacing w:after="120"/>
    </w:pPr>
  </w:style>
  <w:style w:type="paragraph" w:styleId="1199" w:customStyle="1">
    <w:name w:val="WPSOffice手动目录 1"/>
    <w:uiPriority w:val="0"/>
    <w:qFormat/>
    <w:rPr>
      <w:rFonts w:ascii="Times New Roman" w:hAnsi="Times New Roman" w:eastAsia="宋体" w:cs="Times New Roman"/>
      <w:sz w:val="20"/>
      <w:szCs w:val="20"/>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宁咨</cp:lastModifiedBy>
  <cp:revision>44</cp:revision>
  <dcterms:created xsi:type="dcterms:W3CDTF">2023-12-14T02:55:00Z</dcterms:created>
  <dcterms:modified xsi:type="dcterms:W3CDTF">2025-11-27T08:11:14Z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6DA10120BD5A4853B01940D1ED6EB766_13</vt:lpwstr>
  </property>
  <property fmtid="{D5CDD505-2E9C-101B-9397-08002B2CF9AE}" pid="4" name="KSOTemplateDocerSaveRecord">
    <vt:lpwstr>eyJoZGlkIjoiYTFjMzI2MzhiY2M3ZjQ2ODI2ZjQzYTU4OTE2N2JhYWMiLCJ1c2VySWQiOiIxMzAyMzUzMzgzIn0=</vt:lpwstr>
  </property>
</Properties>
</file>